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60"/>
        <w:jc w:val="right"/>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September 17, 2026            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REGISTRATION STATEMENT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WEST COAST COMMUNITY BANCORP</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4" w:type="dxa"/>
        <w:jc w:val="center"/>
        <w:tblInd w:w="0" w:type="dxa"/>
        <w:tblLayout w:type="fixed"/>
        <w:tblCellMar>
          <w:top w:w="28" w:type="dxa"/>
          <w:left w:w="28" w:type="dxa"/>
          <w:bottom w:w="28" w:type="dxa"/>
          <w:right w:w="28" w:type="dxa"/>
        </w:tblCellMar>
      </w:tblPr>
      <w:tblGrid>
        <w:gridCol w:w="1798"/>
        <w:gridCol w:w="1578"/>
        <w:gridCol w:w="1588"/>
        <w:gridCol w:w="887"/>
        <w:gridCol w:w="887"/>
        <w:gridCol w:w="1256"/>
      </w:tblGrid>
      <w:tr>
        <w:trPr/>
        <w:tc>
          <w:tcPr>
            <w:tcW w:w="179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California</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27-1376408</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75 River Street, Santa Cruz, California 95060</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(Address, Including Zip Code, of Registrant’s Principal Executive Offices)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2014 OMNIBUS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2024 EQUITY BASED COMPENSATION PLAN</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(Full title of Plans)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Krista Snelling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 Coast Community Bancorp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75 River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Cruz, California 95060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(Name and address of agent for service)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(831) 457-5000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Copies of communications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Kenneth E. Moore, Esq.</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Stuart | Moore | Staub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641 Higuera Street, Suite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Luis Obispo, CA  93401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(805) 545-8590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(the “Registration Statement”) is being filed by West Coast Community Bancorp (the “Registrant”) to register 1,020,770 shares of the Registrant’s common stock, no par value per share (the “Common Stock”), of which (i)     193,795 shares of Common Stock are reserved for issuance upon exercise of outstanding options under the 2014 Omnibus Plan (the “2014 Plan”) and (ii) 826,975 shares of Common Stock are reserved for future grants under the 2024 Equity Based Compensation Plan (the “2024 Plan”). Pursuant to Rule 416(a) under the Securities Act of 1933, as amended (the “Securities Act”), this Registration Statement shall also cover such indeterminate number of additional shares of Common Stock as may become issuable under the 2014 Plan and the 2024 Plan as a result of stock splits, stock dividends, recapitalization or other similar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documents containing the information specified by Part I, Items 1 and 2 of this Registration Statement, have been or will be delivered to participants in the 2024 Plan and 2014 Plan, as specified in Rule 428(b)(1) promulgated by the Securities and Exchange Commission (the “Commission”) under the Securities Act of 1933, as amended (the “Securities Act”), and the instructions to Form S-8. In accordance with the rules and regulations of the Commission and the instructions to Form S-8, such documents are not being filed with the Commission. These documents and the documents incorporated by reference in the Registration Statement pursuant to Item 3 of Part II, taken together, constitute a prospectus that meets the requirements of Section 10(a)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Plan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required to be filed with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Registrant Information and Employee Plan Annual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required to be filed with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documents filed by the Registrant with the Commission under the Securities Exchange Act of 1934, as amended (the “Exchange Act”), are incorporated herein by reference in this Registration Statement: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(a)The Registrant’s </w:t>
      </w:r>
      <w:hyperlink r:id="rId2">
        <w:r>
          <w:rPr>
            <w:rStyle w:val="InternetLink"/>
            <w:rFonts w:ascii="Times New Roman;serif" w:hAnsi="Times New Roman;serif"/>
            <w:b w:val="false"/>
            <w:color w:val="0000FF"/>
            <w:sz w:val="20"/>
            <w:u w:val="single"/>
          </w:rPr>
          <w:t>Registration Statement on Form 10</w:t>
        </w:r>
      </w:hyperlink>
      <w:r>
        <w:rPr>
          <w:color w:val="000000"/>
        </w:rPr>
        <w:t xml:space="preserve"> </w:t>
      </w:r>
      <w:r>
        <w:rPr>
          <w:rFonts w:ascii="Times New Roman;serif" w:hAnsi="Times New Roman;serif"/>
          <w:b w:val="false"/>
          <w:color w:val="000000"/>
          <w:sz w:val="20"/>
        </w:rPr>
        <w:t>under Section 12(b) of the Exchange Act (File No. 001-43470), as filed with the Commission on August 31, 2026 (the “Form 10”), which contains unaudited financial statements for the registrant’s latest fiscal year; and</w:t>
      </w:r>
    </w:p>
    <w:p>
      <w:pPr>
        <w:pStyle w:val="TextBody"/>
        <w:bidi w:val="0"/>
        <w:spacing w:lineRule="auto" w:line="288" w:before="0" w:after="180"/>
        <w:ind w:left="0" w:right="0" w:hanging="360"/>
        <w:jc w:val="left"/>
        <w:rPr/>
      </w:pPr>
      <w:r>
        <w:rPr>
          <w:rFonts w:ascii="Times New Roman;serif" w:hAnsi="Times New Roman;serif"/>
          <w:b w:val="false"/>
          <w:color w:val="000000"/>
          <w:sz w:val="20"/>
        </w:rPr>
        <w:t>(b)The description of the Registrant’s Common Stock contained in the Form 10 under the heading “</w:t>
      </w:r>
      <w:hyperlink w:anchor="i698b6b88a8404f9e985a3a3df7c08265_22">
        <w:r>
          <w:rPr>
            <w:rStyle w:val="InternetLink"/>
            <w:rFonts w:ascii="Times New Roman;serif" w:hAnsi="Times New Roman;serif"/>
            <w:b w:val="false"/>
            <w:color w:val="0000FF"/>
            <w:sz w:val="20"/>
            <w:u w:val="single"/>
          </w:rPr>
          <w:t>Description of Registrant’s Securities to be Registered</w:t>
        </w:r>
      </w:hyperlink>
      <w:r>
        <w:rPr>
          <w:rFonts w:ascii="Times New Roman;serif" w:hAnsi="Times New Roman;serif"/>
          <w:b w:val="false"/>
          <w:color w:val="000000"/>
          <w:sz w:val="20"/>
        </w:rPr>
        <w:t>,” including any amendment or report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documents filed by the Registrant with the Commission pursuant to Sections 13(a), 13(c), 14, or 15(d) of the Exchange Act other than any such documents or portions thereof that are furnished (e.g. the portions of those documents set forth under Item 2.02 or Item 7.01 of a Current Report on Form 8-K or other information “furnished” to the Commission) rather than filed with the Commission, unless otherwise indicated therein, including any exhibits included with such Items or other information prior to the filing of a post-effective amendment which indicates that all securities offered hereby have been sold or which deregisters all securities then remaining unsold, shall be deemed to be incorporated by reference into this Registration Statement and to be a part thereof from the date of the filing of such documents. Any statement contained in the documents incorporated, or deemed to be incorporated, by reference herein or therein shall be deemed to be modified or superseded for purposes of this Registration Statement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date of this Registration Statement, members of Stuart | Moore | Staub owned an aggregate of approximately 294 shares of West Coast Community Bancorp’s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Registrant, as a California corporation, is subject to the California General Corporation Law (the “CGCL”), which provides a detailed statutory framework covering indemnification of any officer or other agent of a corporation who is made or threatened to be made a party to any legal proceeding by reason of his or her services on behalf of such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indemnification, the CGCL provides that to the extent any officer, director or other agent of a corporation is successful “on the merits” in defense of any legal proceeding to which such person is a party or is threatened to be made a party by reason of his or her service on behalf of such corporation or in defense of any claim, issue, or matter therein, such agent shall be indemnified against expenses actually and reasonably incurred by the agent in connection therewith, but does not require indemnification in any other circumstance. The CGCL also provides that a corporation may indemnify any agent of the corporation, including officers and directors, against expenses, judgments, fines, settlements and other amounts actually and reasonably incurred in a third party proceeding against such person by reason of his or her services on behalf of the corporation, provided the person acted in good faith and in a manner he or she reasonably believed to be in the best interests of such corporation. The CGCL further provides that in derivative suits a corporation may indemnify such a person against expenses incurred </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such a proceeding, provided such person acted in good faith and in a manner he or she reasonably believed to be in the best interests of the corporation and its shareholders. Indemnification is not available in derivative actions (i) for amounts paid or expenses incurred in connection with a matter that is settled or otherwise disposed of without court approval or (ii) with respect to matters for which the agent shall have been adjudged to be liable to the corporation unless the court shall determine that such person is entitled to indemnification.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CGCL permits the advancing of expenses incurred in defending any proceeding against a corporate agent by reason of his or her service on behalf of the corporation upon the giving of a promise to repay any such sums in the event it is later determined that such person is not entitled to be indemnified. Finally, the CGCL provides that the indemnification provided by the statute is not exclusive of other rights to which those seeking indemnification may be entitled, by law, agreement or otherwise, to the extent additional rights are authorized in a corporation’s articles of incorporation. The law further permits a corporation to procure insurance on behalf of its directors, officers and agents against any liability incurred by any such individual, even if a corporation would not otherwise have the power under applicable law to indemnify the director, officer or agent for such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Registrant’s Amended and Restated Bylaws (“Bylaws”) provide that we shall indemnify any person who is or was our director or officer, or who was serving at our request as a director or officer of another entity, to the fullest extent authorized by law. Our Bylaws further provide that we shall advance expenses incurred in defending any such proceeding prior to its final disposition, subject to receipt of an undertaking by or on behalf of the indemnified person to repay all amounts advanced if it is ultimately determined that such person is not entitled to indemnification.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Registrant has entered into indemnification agreements with its officers and directors. These agreements require the Registrant to, among other things, (i) indemnify its directors and officers against certain liabilities that may arise by reason of their status or service as directors or officers (other than liabilities arising from actions not taken in good faith or in a manner the indemnitee believed to be opposed to our best interests), (ii) advance the expenses such directors or executive officers may incur as a result of or in connection with the defense of any proceeding brought against them as to which they could be indemnified, subject to an undertaking by the indemnified party to repay such advances if it is ultimately determined that he or she is not entitled to indemnification, and (iii) obtain officers’ &amp; directors’ liability insurance if available on reasonable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directors’ and officers’ liability insurance that provides coverage for certain liabilities, including liabilities arising under the Securities Act and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summary is qualified in its entirety by reference to the Registrant’s Articles of Incorporation and Bylaws, which are filed as exhibits to this registration statement, and to the relevant provisions of the CGCL.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our directors, officers, or controlling persons under any of the foregoing provisions, in the opinion of the SEC, such indemnification is against public policy as expressed in the Securities Act and is therefore unenforceable. In addition, our ability to provide indemnification is subject to limitations under federal banking laws and regulations, including Section 18(k) of the Federal Deposit Insurance Act and related FDIC regulations, which prohibit indemnification payments in certain circumstances, such as when a director or officer is assessed a civil money penalty or removed from office.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herewith or incorporated by reference.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75"/>
        <w:gridCol w:w="2633"/>
        <w:gridCol w:w="375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Incorporation of West Coast Community Bancorp, as amended (incorporated herein by reference to Exhibit 3.1 of the Registrant’s Registration Statement on Form 10 filed on August 31, 2026 (File No. 001-43470))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West Coast Community Bancorp (incorporated herein by reference to Exhibit 3.2 of the Registrant’s Registration Statement on Form 10 filed on August 31, 2026 (File No. 001-43470))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Specimen certificate for the Common Stock of West Coast Community Bancorp (incorporated herein by reference to Exhibit 4.1 of the Registrant’s Registration Statement on Form 10 filed on August 31, 2026 (File No. 001-43470))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000FF"/>
                  <w:sz w:val="20"/>
                  <w:u w:val="single"/>
                </w:rPr>
                <w:t>Opinion of Stuart | Moore | Staub</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000FF"/>
                  <w:sz w:val="20"/>
                  <w:u w:val="single"/>
                </w:rPr>
                <w:t>Consent of Stuart | Moore | Staub (included in Exhibit 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htm">
              <w:r>
                <w:rPr>
                  <w:rStyle w:val="InternetLink"/>
                  <w:rFonts w:ascii="Times New Roman;serif" w:hAnsi="Times New Roman;serif"/>
                  <w:b w:val="false"/>
                  <w:color w:val="0000FF"/>
                  <w:sz w:val="20"/>
                  <w:u w:val="single"/>
                </w:rPr>
                <w:t>Consent of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8b6b88a8404f9e985a3a3df7c08265_40">
              <w:r>
                <w:rPr>
                  <w:rStyle w:val="InternetLink"/>
                  <w:rFonts w:ascii="Times New Roman;serif" w:hAnsi="Times New Roman;serif"/>
                  <w:b w:val="false"/>
                  <w:color w:val="0000FF"/>
                  <w:sz w:val="20"/>
                  <w:u w:val="single"/>
                </w:rPr>
                <w:t>Power of Attorney (included on signature page)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2014 Omnibus Plan, and form of award agreements thereto (incorporated herein by reference to Exhibit 10.1 of the Registrant’s Form 10 filed on August 31, 2026 (File No. 001-43470))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2024 Equity Based Compensation Plan, and form of award agreements thereto (incorporated herein by reference to Exhibit 10.2 of the Registrant’s Form 10 filed on August 31, 2026 (File No. 001-43470))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bexfilingfees091726.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Filing Fee Tables” table in the effective registration statement.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Santa Cruz, State of California, on this 17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September, 2026.</w:t>
      </w:r>
    </w:p>
    <w:tbl>
      <w:tblPr>
        <w:tblW w:w="390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COAST COMMUNITY BANCORP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Krista Snelling</w:t>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 Snelling</w:t>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Chairman and Chief Executive Officer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Krista Snelling and Cecilia Situ,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 indicated.</w:t>
      </w:r>
    </w:p>
    <w:tbl>
      <w:tblPr>
        <w:tblW w:w="9246" w:type="dxa"/>
        <w:jc w:val="left"/>
        <w:tblInd w:w="0" w:type="dxa"/>
        <w:tblLayout w:type="fixed"/>
        <w:tblCellMar>
          <w:top w:w="28" w:type="dxa"/>
          <w:left w:w="28" w:type="dxa"/>
          <w:bottom w:w="28" w:type="dxa"/>
          <w:right w:w="28" w:type="dxa"/>
        </w:tblCellMar>
      </w:tblPr>
      <w:tblGrid>
        <w:gridCol w:w="878"/>
        <w:gridCol w:w="771"/>
        <w:gridCol w:w="780"/>
        <w:gridCol w:w="109"/>
        <w:gridCol w:w="109"/>
        <w:gridCol w:w="109"/>
        <w:gridCol w:w="1458"/>
        <w:gridCol w:w="1458"/>
        <w:gridCol w:w="1478"/>
        <w:gridCol w:w="109"/>
        <w:gridCol w:w="109"/>
        <w:gridCol w:w="109"/>
        <w:gridCol w:w="517"/>
        <w:gridCol w:w="517"/>
        <w:gridCol w:w="735"/>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4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Krista Snelling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Krista Snelling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Cecilia Situ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Cecilia Situ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Wayne S. Doiguchi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Wayne S. Doiguchi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Judith N. Bornstein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Judith N. Bornstein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Caroline D. Chapin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Caroline D. Chapin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R. Chappell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Kenneth R. Chappell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Craig A. French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Craig A. French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Kurt J. Gollnick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Kurt J. Gollnick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R. Hightower,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R. Hightower,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Alexander B. Potts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Alexander B. Potts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Gunlek L. Ruder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Gunlek L. Ruder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L. Weisenstein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2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L. Weisenstein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wccbexfilingfees091726.htm"/>
      <w:bookmarkStart w:id="1" w:name="kswccbexfilingfees091726"/>
      <w:bookmarkStart w:id="2" w:name="wccbexfilingfees091726.htm"/>
      <w:bookmarkStart w:id="3" w:name="kswccbexfilingfees091726"/>
      <w:bookmarkEnd w:id="2"/>
      <w:bookmarkEnd w:id="3"/>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710" w:type="dxa"/>
        <w:jc w:val="left"/>
        <w:tblInd w:w="0" w:type="dxa"/>
        <w:tblLayout w:type="fixed"/>
        <w:tblCellMar>
          <w:top w:w="28" w:type="dxa"/>
          <w:left w:w="28" w:type="dxa"/>
          <w:bottom w:w="28" w:type="dxa"/>
          <w:right w:w="28" w:type="dxa"/>
        </w:tblCellMar>
      </w:tblPr>
      <w:tblGrid>
        <w:gridCol w:w="3556"/>
        <w:gridCol w:w="154"/>
      </w:tblGrid>
      <w:tr>
        <w:trPr/>
        <w:tc>
          <w:tcPr>
            <w:tcW w:w="37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5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283"/>
              <w:jc w:val="left"/>
              <w:rPr>
                <w:b/>
              </w:rPr>
            </w:pPr>
            <w:r>
              <w:rPr>
                <w:b/>
              </w:rPr>
              <w:t xml:space="preserve">West Coast Community Bancorp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26"/>
        <w:gridCol w:w="1294"/>
        <w:gridCol w:w="1203"/>
        <w:gridCol w:w="1220"/>
        <w:gridCol w:w="1705"/>
        <w:gridCol w:w="1127"/>
        <w:gridCol w:w="143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26" w:type="dxa"/>
            <w:tcBorders/>
            <w:shd w:fill="E7E7E2" w:val="clear"/>
            <w:vAlign w:val="center"/>
          </w:tcPr>
          <w:p>
            <w:pPr>
              <w:pStyle w:val="TableContents"/>
              <w:bidi w:val="0"/>
              <w:spacing w:before="0" w:after="283"/>
              <w:jc w:val="left"/>
              <w:rPr/>
            </w:pPr>
            <w:r>
              <w:rPr/>
              <w:t xml:space="preserve">Common Stock, no par value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189,496 </w:t>
            </w:r>
          </w:p>
        </w:tc>
        <w:tc>
          <w:tcPr>
            <w:tcW w:w="1220" w:type="dxa"/>
            <w:tcBorders/>
            <w:shd w:fill="E7E7E2" w:val="clear"/>
            <w:vAlign w:val="center"/>
          </w:tcPr>
          <w:p>
            <w:pPr>
              <w:pStyle w:val="TableContents"/>
              <w:bidi w:val="0"/>
              <w:spacing w:before="0" w:after="283"/>
              <w:jc w:val="right"/>
              <w:rPr/>
            </w:pPr>
            <w:r>
              <w:rPr/>
              <w:t xml:space="preserve">$ 22.95 </w:t>
            </w:r>
          </w:p>
        </w:tc>
        <w:tc>
          <w:tcPr>
            <w:tcW w:w="1705" w:type="dxa"/>
            <w:tcBorders/>
            <w:shd w:fill="E7E7E2" w:val="clear"/>
            <w:vAlign w:val="center"/>
          </w:tcPr>
          <w:p>
            <w:pPr>
              <w:pStyle w:val="TableContents"/>
              <w:bidi w:val="0"/>
              <w:spacing w:before="0" w:after="283"/>
              <w:jc w:val="right"/>
              <w:rPr/>
            </w:pPr>
            <w:r>
              <w:rPr/>
              <w:t xml:space="preserve">$ 4,348,933.20 </w:t>
            </w:r>
          </w:p>
        </w:tc>
        <w:tc>
          <w:tcPr>
            <w:tcW w:w="1127" w:type="dxa"/>
            <w:tcBorders/>
            <w:shd w:fill="E7E7E2" w:val="clear"/>
            <w:vAlign w:val="center"/>
          </w:tcPr>
          <w:p>
            <w:pPr>
              <w:pStyle w:val="TableContents"/>
              <w:bidi w:val="0"/>
              <w:spacing w:before="0" w:after="283"/>
              <w:jc w:val="right"/>
              <w:rPr/>
            </w:pPr>
            <w:r>
              <w:rPr/>
              <w:t xml:space="preserve">0.0001381 </w:t>
            </w:r>
          </w:p>
        </w:tc>
        <w:tc>
          <w:tcPr>
            <w:tcW w:w="1431" w:type="dxa"/>
            <w:tcBorders/>
            <w:shd w:fill="E7E7E2" w:val="clear"/>
            <w:vAlign w:val="center"/>
          </w:tcPr>
          <w:p>
            <w:pPr>
              <w:pStyle w:val="TableContents"/>
              <w:bidi w:val="0"/>
              <w:spacing w:before="0" w:after="283"/>
              <w:jc w:val="right"/>
              <w:rPr/>
            </w:pPr>
            <w:r>
              <w:rPr/>
              <w:t xml:space="preserve">$ 600.59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7" w:type="dxa"/>
            <w:tcBorders/>
            <w:shd w:fill="E7E7E2" w:val="clear"/>
            <w:vAlign w:val="center"/>
          </w:tcPr>
          <w:p>
            <w:pPr>
              <w:pStyle w:val="TableContents"/>
              <w:bidi w:val="0"/>
              <w:spacing w:before="0" w:after="283"/>
              <w:jc w:val="left"/>
              <w:rPr/>
            </w:pPr>
            <w:r>
              <w:rPr/>
              <w:t xml:space="preserve">Equity </w:t>
            </w:r>
          </w:p>
        </w:tc>
        <w:tc>
          <w:tcPr>
            <w:tcW w:w="1026" w:type="dxa"/>
            <w:tcBorders/>
            <w:shd w:fill="E7E7E2" w:val="clear"/>
            <w:vAlign w:val="center"/>
          </w:tcPr>
          <w:p>
            <w:pPr>
              <w:pStyle w:val="TableContents"/>
              <w:bidi w:val="0"/>
              <w:spacing w:before="0" w:after="283"/>
              <w:jc w:val="left"/>
              <w:rPr/>
            </w:pPr>
            <w:r>
              <w:rPr/>
              <w:t xml:space="preserve">Common Stock, no par value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817,809 </w:t>
            </w:r>
          </w:p>
        </w:tc>
        <w:tc>
          <w:tcPr>
            <w:tcW w:w="1220" w:type="dxa"/>
            <w:tcBorders/>
            <w:shd w:fill="E7E7E2" w:val="clear"/>
            <w:vAlign w:val="center"/>
          </w:tcPr>
          <w:p>
            <w:pPr>
              <w:pStyle w:val="TableContents"/>
              <w:bidi w:val="0"/>
              <w:spacing w:before="0" w:after="283"/>
              <w:jc w:val="right"/>
              <w:rPr/>
            </w:pPr>
            <w:r>
              <w:rPr/>
              <w:t xml:space="preserve">$ 59.68 </w:t>
            </w:r>
          </w:p>
        </w:tc>
        <w:tc>
          <w:tcPr>
            <w:tcW w:w="1705" w:type="dxa"/>
            <w:tcBorders/>
            <w:shd w:fill="E7E7E2" w:val="clear"/>
            <w:vAlign w:val="center"/>
          </w:tcPr>
          <w:p>
            <w:pPr>
              <w:pStyle w:val="TableContents"/>
              <w:bidi w:val="0"/>
              <w:spacing w:before="0" w:after="283"/>
              <w:jc w:val="right"/>
              <w:rPr/>
            </w:pPr>
            <w:r>
              <w:rPr/>
              <w:t xml:space="preserve">$ 48,806,841.12 </w:t>
            </w:r>
          </w:p>
        </w:tc>
        <w:tc>
          <w:tcPr>
            <w:tcW w:w="1127" w:type="dxa"/>
            <w:tcBorders/>
            <w:shd w:fill="E7E7E2" w:val="clear"/>
            <w:vAlign w:val="center"/>
          </w:tcPr>
          <w:p>
            <w:pPr>
              <w:pStyle w:val="TableContents"/>
              <w:bidi w:val="0"/>
              <w:spacing w:before="0" w:after="283"/>
              <w:jc w:val="right"/>
              <w:rPr/>
            </w:pPr>
            <w:r>
              <w:rPr/>
              <w:t xml:space="preserve">0.0001381 </w:t>
            </w:r>
          </w:p>
        </w:tc>
        <w:tc>
          <w:tcPr>
            <w:tcW w:w="1431" w:type="dxa"/>
            <w:tcBorders/>
            <w:shd w:fill="E7E7E2" w:val="clear"/>
            <w:vAlign w:val="center"/>
          </w:tcPr>
          <w:p>
            <w:pPr>
              <w:pStyle w:val="TableContents"/>
              <w:bidi w:val="0"/>
              <w:spacing w:before="0" w:after="283"/>
              <w:jc w:val="right"/>
              <w:rPr/>
            </w:pPr>
            <w:r>
              <w:rPr/>
              <w:t xml:space="preserve">$ 6,740.22 </w:t>
            </w:r>
          </w:p>
        </w:tc>
      </w:tr>
      <w:tr>
        <w:trPr/>
        <w:tc>
          <w:tcPr>
            <w:tcW w:w="4722" w:type="dxa"/>
            <w:gridSpan w:val="5"/>
            <w:tcBorders/>
            <w:vAlign w:val="center"/>
          </w:tcPr>
          <w:p>
            <w:pPr>
              <w:pStyle w:val="TableContents"/>
              <w:bidi w:val="0"/>
              <w:spacing w:before="0" w:after="0"/>
              <w:ind w:left="0" w:right="0" w:hanging="0"/>
              <w:jc w:val="right"/>
              <w:rPr/>
            </w:pPr>
            <w:r>
              <w:rPr/>
              <w:t>Total Offering Amounts:</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0"/>
              <w:ind w:left="0" w:right="0" w:hanging="0"/>
              <w:jc w:val="right"/>
              <w:rPr/>
            </w:pPr>
            <w:bookmarkStart w:id="4" w:name="MaxAggtOfferingPrice"/>
            <w:bookmarkEnd w:id="4"/>
            <w:r>
              <w:rPr/>
              <w:t xml:space="preserve">$ 53,155,774.32 </w:t>
            </w:r>
          </w:p>
        </w:tc>
        <w:tc>
          <w:tcPr>
            <w:tcW w:w="1127" w:type="dxa"/>
            <w:tcBorders/>
            <w:vAlign w:val="center"/>
          </w:tcPr>
          <w:p>
            <w:pPr>
              <w:pStyle w:val="TableContents"/>
              <w:bidi w:val="0"/>
              <w:spacing w:before="0" w:after="283"/>
              <w:jc w:val="left"/>
              <w:rPr>
                <w:sz w:val="4"/>
                <w:szCs w:val="4"/>
              </w:rPr>
            </w:pPr>
            <w:r>
              <w:rPr>
                <w:sz w:val="4"/>
                <w:szCs w:val="4"/>
              </w:rPr>
            </w:r>
          </w:p>
        </w:tc>
        <w:tc>
          <w:tcPr>
            <w:tcW w:w="143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$ 7,340.81 </w:t>
            </w:r>
          </w:p>
        </w:tc>
      </w:tr>
      <w:tr>
        <w:trPr/>
        <w:tc>
          <w:tcPr>
            <w:tcW w:w="4722" w:type="dxa"/>
            <w:gridSpan w:val="5"/>
            <w:tcBorders/>
            <w:vAlign w:val="center"/>
          </w:tcPr>
          <w:p>
            <w:pPr>
              <w:pStyle w:val="TableContents"/>
              <w:bidi w:val="0"/>
              <w:spacing w:before="0" w:after="0"/>
              <w:ind w:left="0" w:right="0" w:hanging="0"/>
              <w:jc w:val="right"/>
              <w:rPr/>
            </w:pPr>
            <w:r>
              <w:rPr/>
              <w:t xml:space="preserve">Total Fee Offsets: </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22" w:type="dxa"/>
            <w:gridSpan w:val="5"/>
            <w:tcBorders/>
            <w:vAlign w:val="center"/>
          </w:tcPr>
          <w:p>
            <w:pPr>
              <w:pStyle w:val="TableContents"/>
              <w:bidi w:val="0"/>
              <w:spacing w:before="0" w:after="0"/>
              <w:ind w:left="0" w:right="0" w:hanging="0"/>
              <w:jc w:val="right"/>
              <w:rPr/>
            </w:pPr>
            <w:r>
              <w:rPr/>
              <w:t xml:space="preserve">Net Fee Due: </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0"/>
              <w:ind w:left="0" w:right="0" w:hanging="0"/>
              <w:jc w:val="right"/>
              <w:rPr/>
            </w:pPr>
            <w:bookmarkStart w:id="7" w:name="NetFeeAmt"/>
            <w:bookmarkEnd w:id="7"/>
            <w:r>
              <w:rPr/>
              <w:t xml:space="preserve">$ 7,340.81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4"/>
        <w:gridCol w:w="8708"/>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common stock which become issuable under the plans to which this registration relates by reason of any stock dividend, stock split, recapitalization or other similar transaction. b. Represents Common Stock issuable upon exercise of outstanding options under the 2014 Omnibus Plan. c. Estimated solely for the purpose of calculating the amount of the registration fee, pursuant to Rule 457(h) under the Securities Act. The proposed maximum offering price is based on the weighted-average exercise price of previously granted options that remain outstanding under the 2014 Omnibus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See note 1.a. above. a. Represents Common Stock reserved for future grants under the 2024 Equity Based Compensation Plan. b. Estimated solely for the purpose of calculating the amount of the registration fee, pursuant to Rules 457(c) and 457(h) under the Securities Act. The proposed maximum offering price is based on the average of the high and low prices of the Registrant's Common Stock as reported on the Nasdaq Capital Market on September 16,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120"/>
        <w:jc w:val="left"/>
        <w:rPr/>
      </w:pPr>
      <w:r>
        <w:rPr/>
        <w:drawing>
          <wp:inline distT="0" distB="0" distL="0" distR="0">
            <wp:extent cx="1247775" cy="10953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8"/>
                    <a:stretch>
                      <a:fillRect/>
                    </a:stretch>
                  </pic:blipFill>
                  <pic:spPr bwMode="auto">
                    <a:xfrm>
                      <a:off x="0" y="0"/>
                      <a:ext cx="1247775" cy="1095375"/>
                    </a:xfrm>
                    <a:prstGeom prst="rect">
                      <a:avLst/>
                    </a:prstGeom>
                  </pic:spPr>
                </pic:pic>
              </a:graphicData>
            </a:graphic>
          </wp:inline>
        </w:drawing>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September 17,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Coast Community Bancorp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 River Street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Santa Cruz, California 95060</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          Registration Statement on Form S-8</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your request, we have examined the Registration Statement on Form S-8 (the “Registration Statement”) being filed by West Coast Community Bancorp (the “Company”) with the Securities and Exchange Commission in connection with the registration under the Securities Act of 1933, as amended, of 1,007,305 shares of the Company’s common stock, (the “Common Stock”), issuable pursuant to the 2014 Omnibus Plan and 2024 Equity Based Compensation Plan (each a “Plan” and collectively the “Plans”).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rendering this opinion, we have examined such documents and records as we have deemed relevant. We have assumed the genuineness of all signatures, the authenticity of all documents submitted to us as originals and the conformity to originals of all documents submitted to us as certified or reproduced copies.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the foregoing and such other and further review of fact and law as we have deemed necessary or appropriate under the circumstances, and assuming that (i) all equity awards granted under any Plan will be granted pursuant to the terms of the respective Plan, and (ii) the consideration for the shares of Common Stock issued pursuant to any Plan will be received prior to the issuance thereof and (iii) the shares of Common Stock issued pursuant to the exercise of the equity awards will be issued in accordance with the terms of the respective Plan, upon which assumptions the following opinions are expressly conditioned, it is our opinion that the shares purchased pursuant to the Plans and pursuant to the Registration Statement will, when sold in accordance with the terms of the respective Plan, be validly issued, fully paid and non-assessable.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is issued to you solely for use in connection with the Registration Statement and is not to be quoted or otherwise referred to in any financial statements of the Company or related documents, nor is it to be filed with or furnished to any government agency or other person, without the prior written consent of this firm in each instance.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firm hereby consents to the filing of this opinion as an exhibit to the Registration Statement and to the reference to the undersigned under the heading “Legal Matters” therein and in any prospectus delivered to participants in the Plan and any amendments thereto.</w:t>
      </w:r>
    </w:p>
    <w:tbl>
      <w:tblPr>
        <w:tblW w:w="2844" w:type="dxa"/>
        <w:jc w:val="left"/>
        <w:tblInd w:w="0" w:type="dxa"/>
        <w:tblLayout w:type="fixed"/>
        <w:tblCellMar>
          <w:top w:w="28" w:type="dxa"/>
          <w:left w:w="28" w:type="dxa"/>
          <w:bottom w:w="28" w:type="dxa"/>
          <w:right w:w="28" w:type="dxa"/>
        </w:tblCellMar>
      </w:tblPr>
      <w:tblGrid>
        <w:gridCol w:w="124"/>
        <w:gridCol w:w="109"/>
        <w:gridCol w:w="109"/>
        <w:gridCol w:w="708"/>
        <w:gridCol w:w="708"/>
        <w:gridCol w:w="710"/>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Respectfully submitted,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 Moore | Staub</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 MOORE | STAUB</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on Form S-8 of West Coast Community Bancorp of our report dated February 27, 2026 relating to the consolidated financial statements of West Coast Community Bancorp appearing in its Registration Statement on Form 10 (File No. 001-43470).</w:t>
      </w:r>
    </w:p>
    <w:tbl>
      <w:tblPr>
        <w:tblW w:w="2024" w:type="dxa"/>
        <w:jc w:val="left"/>
        <w:tblInd w:w="0" w:type="dxa"/>
        <w:tblLayout w:type="fixed"/>
        <w:tblCellMar>
          <w:top w:w="28" w:type="dxa"/>
          <w:left w:w="28" w:type="dxa"/>
          <w:bottom w:w="28" w:type="dxa"/>
          <w:right w:w="28" w:type="dxa"/>
        </w:tblCellMar>
      </w:tblPr>
      <w:tblGrid>
        <w:gridCol w:w="645"/>
        <w:gridCol w:w="566"/>
        <w:gridCol w:w="813"/>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Crowe LLP </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Sacramento, California</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17,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05965/000162828026059592/westcoastcommunitybancorp1.htm" TargetMode="External"/><Relationship Id="rId3" Type="http://schemas.openxmlformats.org/officeDocument/2006/relationships/hyperlink" Target="https://www.sec.gov/Archives/edgar/data/2105965/000162828026059592/exhibit31-10x12b.htm" TargetMode="External"/><Relationship Id="rId4" Type="http://schemas.openxmlformats.org/officeDocument/2006/relationships/hyperlink" Target="https://www.sec.gov/Archives/edgar/data/2105965/000162828026059592/exhibit32-10x12b.htm" TargetMode="External"/><Relationship Id="rId5" Type="http://schemas.openxmlformats.org/officeDocument/2006/relationships/hyperlink" Target="https://www.sec.gov/Archives/edgar/data/2105965/000162828026059592/exhibit41-10x12b.htm" TargetMode="External"/><Relationship Id="rId6" Type="http://schemas.openxmlformats.org/officeDocument/2006/relationships/hyperlink" Target="https://www.sec.gov/Archives/edgar/data/2105965/000162828026059592/exhibit101-10x12b.htm" TargetMode="External"/><Relationship Id="rId7" Type="http://schemas.openxmlformats.org/officeDocument/2006/relationships/hyperlink" Target="https://www.sec.gov/Archives/edgar/data/2105965/000162828026059592/exhibit102-10x12b.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3983</Words>
  <Characters>21473</Characters>
  <CharactersWithSpaces>25335</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