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DeBernardo Angelo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Lending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3"/>
        <w:gridCol w:w="1956"/>
        <w:gridCol w:w="1155"/>
        <w:gridCol w:w="266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1,866</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14,055</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17,398</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Self as Trustee of the DeBernardo Family Trust</w:t>
            </w:r>
          </w:p>
        </w:tc>
      </w:tr>
      <w:tr>
        <w:trPr/>
        <w:tc>
          <w:tcPr>
            <w:tcW w:w="4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5,808</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401K</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12/17/2021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01/17/2028</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22.7182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12/17/2021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01/17/2028</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22.7182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RSA with 3-year annual vesting schedule: Includes (i) 601 shares subject to a restricted stock award (RSA) granted on 3/20/2024, which vest annually thereafter, (ii) 752 shares subject to an RSA granted on 3/19/2025, which vest annually thereafter and (iii) 513 shares subject to an RSA granted on 3/19/2026, which vest annually thereafter. Vesting is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RSA with 4-year annual vesting schedule: Includes (i) 6,925 shares subject to a restricted stock award (RSA) granted on 12/20/2023, which vest annually thereafter and (ii) 7,130 shares subject to an RSA granted on 12/17/2025, which vest annually thereafter. Vesting is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debernardo.htm"/>
      <w:bookmarkStart w:id="3" w:name="ksdebernardo"/>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20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Angelo DeBernardo, Jr.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Angelo DeBernardo, Jr.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5241"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1177</Words>
  <Characters>6324</Characters>
  <CharactersWithSpaces>7426</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