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7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7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6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October 27, 2026</w:t>
      </w:r>
    </w:p>
    <w:p>
      <w:pPr>
        <w:spacing w:after="0" w:line="159"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5980" w:type="dxa"/>
            <w:vAlign w:val="bottom"/>
          </w:tcPr>
          <w:p>
            <w:pPr>
              <w:jc w:val="center"/>
              <w:ind w:left="2497"/>
              <w:spacing w:after="0"/>
              <w:rPr>
                <w:sz w:val="20"/>
                <w:szCs w:val="20"/>
                <w:color w:val="auto"/>
              </w:rPr>
            </w:pPr>
            <w:r>
              <w:rPr>
                <w:rFonts w:ascii="Times New Roman" w:cs="Times New Roman" w:eastAsia="Times New Roman" w:hAnsi="Times New Roman"/>
                <w:sz w:val="19"/>
                <w:szCs w:val="19"/>
                <w:b w:val="1"/>
                <w:bCs w:val="1"/>
                <w:color w:val="auto"/>
              </w:rPr>
              <w:t>West Coast Community Bancorp</w:t>
            </w:r>
          </w:p>
        </w:tc>
        <w:tc>
          <w:tcPr>
            <w:tcW w:w="1980" w:type="dxa"/>
            <w:vAlign w:val="bottom"/>
          </w:tcPr>
          <w:p>
            <w:pPr>
              <w:spacing w:after="0"/>
              <w:rPr>
                <w:sz w:val="20"/>
                <w:szCs w:val="20"/>
                <w:color w:val="auto"/>
              </w:rPr>
            </w:pPr>
          </w:p>
        </w:tc>
      </w:tr>
      <w:tr>
        <w:trPr>
          <w:trHeight w:val="159"/>
        </w:trPr>
        <w:tc>
          <w:tcPr>
            <w:tcW w:w="5980" w:type="dxa"/>
            <w:vAlign w:val="bottom"/>
          </w:tcPr>
          <w:p>
            <w:pPr>
              <w:jc w:val="center"/>
              <w:ind w:left="2477"/>
              <w:spacing w:after="0"/>
              <w:rPr>
                <w:sz w:val="20"/>
                <w:szCs w:val="20"/>
                <w:color w:val="auto"/>
              </w:rPr>
            </w:pPr>
            <w:r>
              <w:rPr>
                <w:rFonts w:ascii="Times New Roman" w:cs="Times New Roman" w:eastAsia="Times New Roman" w:hAnsi="Times New Roman"/>
                <w:sz w:val="12"/>
                <w:szCs w:val="12"/>
                <w:b w:val="1"/>
                <w:bCs w:val="1"/>
                <w:color w:val="auto"/>
                <w:w w:val="99"/>
              </w:rPr>
              <w:t>(Exact name of registrant as specified in its charter)</w:t>
            </w:r>
          </w:p>
        </w:tc>
        <w:tc>
          <w:tcPr>
            <w:tcW w:w="1980" w:type="dxa"/>
            <w:vAlign w:val="bottom"/>
          </w:tcPr>
          <w:p>
            <w:pPr>
              <w:spacing w:after="0"/>
              <w:rPr>
                <w:sz w:val="13"/>
                <w:szCs w:val="13"/>
                <w:color w:val="auto"/>
              </w:rPr>
            </w:pPr>
          </w:p>
        </w:tc>
      </w:tr>
      <w:tr>
        <w:trPr>
          <w:trHeight w:val="288"/>
        </w:trPr>
        <w:tc>
          <w:tcPr>
            <w:tcW w:w="5980" w:type="dxa"/>
            <w:vAlign w:val="bottom"/>
          </w:tcPr>
          <w:p>
            <w:pPr>
              <w:jc w:val="center"/>
              <w:ind w:left="2497"/>
              <w:spacing w:after="0"/>
              <w:rPr>
                <w:sz w:val="20"/>
                <w:szCs w:val="20"/>
                <w:color w:val="auto"/>
              </w:rPr>
            </w:pPr>
            <w:r>
              <w:rPr>
                <w:rFonts w:ascii="Times New Roman" w:cs="Times New Roman" w:eastAsia="Times New Roman" w:hAnsi="Times New Roman"/>
                <w:sz w:val="12"/>
                <w:szCs w:val="12"/>
                <w:b w:val="1"/>
                <w:bCs w:val="1"/>
                <w:color w:val="auto"/>
                <w:w w:val="99"/>
              </w:rPr>
              <w:t>Commission File Number: 001-43470</w:t>
            </w:r>
          </w:p>
        </w:tc>
        <w:tc>
          <w:tcPr>
            <w:tcW w:w="1980" w:type="dxa"/>
            <w:vAlign w:val="bottom"/>
          </w:tcPr>
          <w:p>
            <w:pPr>
              <w:spacing w:after="0"/>
              <w:rPr>
                <w:sz w:val="24"/>
                <w:szCs w:val="24"/>
                <w:color w:val="auto"/>
              </w:rPr>
            </w:pPr>
          </w:p>
        </w:tc>
      </w:tr>
      <w:tr>
        <w:trPr>
          <w:trHeight w:val="169"/>
        </w:trPr>
        <w:tc>
          <w:tcPr>
            <w:tcW w:w="5980" w:type="dxa"/>
            <w:vAlign w:val="bottom"/>
          </w:tcPr>
          <w:p>
            <w:pPr>
              <w:jc w:val="center"/>
              <w:ind w:right="3037"/>
              <w:spacing w:after="0"/>
              <w:rPr>
                <w:sz w:val="20"/>
                <w:szCs w:val="20"/>
                <w:color w:val="auto"/>
              </w:rPr>
            </w:pPr>
            <w:r>
              <w:rPr>
                <w:rFonts w:ascii="Times New Roman" w:cs="Times New Roman" w:eastAsia="Times New Roman" w:hAnsi="Times New Roman"/>
                <w:sz w:val="12"/>
                <w:szCs w:val="12"/>
                <w:b w:val="1"/>
                <w:bCs w:val="1"/>
                <w:color w:val="auto"/>
                <w:w w:val="98"/>
              </w:rPr>
              <w:t>California</w:t>
            </w:r>
          </w:p>
        </w:tc>
        <w:tc>
          <w:tcPr>
            <w:tcW w:w="1980" w:type="dxa"/>
            <w:vAlign w:val="bottom"/>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27-1376408</w:t>
            </w:r>
          </w:p>
        </w:tc>
      </w:tr>
      <w:tr>
        <w:trPr>
          <w:trHeight w:val="155"/>
        </w:trPr>
        <w:tc>
          <w:tcPr>
            <w:tcW w:w="5980" w:type="dxa"/>
            <w:vAlign w:val="bottom"/>
          </w:tcPr>
          <w:p>
            <w:pPr>
              <w:jc w:val="center"/>
              <w:ind w:right="3037"/>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tc>
        <w:tc>
          <w:tcPr>
            <w:tcW w:w="198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9"/>
              </w:rPr>
              <w:t>(I.R.S. Employer Identification No.)</w:t>
            </w:r>
          </w:p>
        </w:tc>
      </w:tr>
      <w:tr>
        <w:trPr>
          <w:trHeight w:val="340"/>
        </w:trPr>
        <w:tc>
          <w:tcPr>
            <w:tcW w:w="5980" w:type="dxa"/>
            <w:vAlign w:val="bottom"/>
          </w:tcPr>
          <w:p>
            <w:pPr>
              <w:jc w:val="center"/>
              <w:ind w:left="2477"/>
              <w:spacing w:after="0"/>
              <w:rPr>
                <w:sz w:val="20"/>
                <w:szCs w:val="20"/>
                <w:color w:val="auto"/>
              </w:rPr>
            </w:pPr>
            <w:r>
              <w:rPr>
                <w:rFonts w:ascii="Times New Roman" w:cs="Times New Roman" w:eastAsia="Times New Roman" w:hAnsi="Times New Roman"/>
                <w:sz w:val="12"/>
                <w:szCs w:val="12"/>
                <w:b w:val="1"/>
                <w:bCs w:val="1"/>
                <w:color w:val="auto"/>
                <w:w w:val="99"/>
              </w:rPr>
              <w:t>75 River Street, Santa Cruz, CA, 95060</w:t>
            </w:r>
          </w:p>
        </w:tc>
        <w:tc>
          <w:tcPr>
            <w:tcW w:w="1980" w:type="dxa"/>
            <w:vAlign w:val="bottom"/>
          </w:tcPr>
          <w:p>
            <w:pPr>
              <w:spacing w:after="0"/>
              <w:rPr>
                <w:sz w:val="24"/>
                <w:szCs w:val="24"/>
                <w:color w:val="auto"/>
              </w:rPr>
            </w:pPr>
          </w:p>
        </w:tc>
      </w:tr>
      <w:tr>
        <w:trPr>
          <w:trHeight w:val="155"/>
        </w:trPr>
        <w:tc>
          <w:tcPr>
            <w:tcW w:w="5980" w:type="dxa"/>
            <w:vAlign w:val="bottom"/>
          </w:tcPr>
          <w:p>
            <w:pPr>
              <w:jc w:val="center"/>
              <w:ind w:left="2477"/>
              <w:spacing w:after="0"/>
              <w:rPr>
                <w:sz w:val="20"/>
                <w:szCs w:val="20"/>
                <w:color w:val="auto"/>
              </w:rPr>
            </w:pPr>
            <w:r>
              <w:rPr>
                <w:rFonts w:ascii="Times New Roman" w:cs="Times New Roman" w:eastAsia="Times New Roman" w:hAnsi="Times New Roman"/>
                <w:sz w:val="12"/>
                <w:szCs w:val="12"/>
                <w:color w:val="auto"/>
                <w:w w:val="99"/>
              </w:rPr>
              <w:t>(Address of principal executive offices, including zip code)</w:t>
            </w:r>
          </w:p>
        </w:tc>
        <w:tc>
          <w:tcPr>
            <w:tcW w:w="1980" w:type="dxa"/>
            <w:vAlign w:val="bottom"/>
          </w:tcPr>
          <w:p>
            <w:pPr>
              <w:spacing w:after="0"/>
              <w:rPr>
                <w:sz w:val="13"/>
                <w:szCs w:val="13"/>
                <w:color w:val="auto"/>
              </w:rPr>
            </w:pPr>
          </w:p>
        </w:tc>
      </w:tr>
      <w:tr>
        <w:trPr>
          <w:trHeight w:val="277"/>
        </w:trPr>
        <w:tc>
          <w:tcPr>
            <w:tcW w:w="5980" w:type="dxa"/>
            <w:vAlign w:val="bottom"/>
          </w:tcPr>
          <w:p>
            <w:pPr>
              <w:jc w:val="center"/>
              <w:ind w:left="2477"/>
              <w:spacing w:after="0"/>
              <w:rPr>
                <w:sz w:val="20"/>
                <w:szCs w:val="20"/>
                <w:color w:val="auto"/>
              </w:rPr>
            </w:pPr>
            <w:r>
              <w:rPr>
                <w:rFonts w:ascii="Times New Roman" w:cs="Times New Roman" w:eastAsia="Times New Roman" w:hAnsi="Times New Roman"/>
                <w:sz w:val="12"/>
                <w:szCs w:val="12"/>
                <w:b w:val="1"/>
                <w:bCs w:val="1"/>
                <w:color w:val="auto"/>
              </w:rPr>
              <w:t>(831) 457-5000</w:t>
            </w:r>
          </w:p>
        </w:tc>
        <w:tc>
          <w:tcPr>
            <w:tcW w:w="1980" w:type="dxa"/>
            <w:vAlign w:val="bottom"/>
          </w:tcPr>
          <w:p>
            <w:pPr>
              <w:spacing w:after="0"/>
              <w:rPr>
                <w:sz w:val="24"/>
                <w:szCs w:val="24"/>
                <w:color w:val="auto"/>
              </w:rPr>
            </w:pPr>
          </w:p>
        </w:tc>
      </w:tr>
      <w:tr>
        <w:trPr>
          <w:trHeight w:val="155"/>
        </w:trPr>
        <w:tc>
          <w:tcPr>
            <w:tcW w:w="5980" w:type="dxa"/>
            <w:vAlign w:val="bottom"/>
          </w:tcPr>
          <w:p>
            <w:pPr>
              <w:jc w:val="center"/>
              <w:ind w:left="2497"/>
              <w:spacing w:after="0"/>
              <w:rPr>
                <w:sz w:val="20"/>
                <w:szCs w:val="20"/>
                <w:color w:val="auto"/>
              </w:rPr>
            </w:pPr>
            <w:r>
              <w:rPr>
                <w:rFonts w:ascii="Times New Roman" w:cs="Times New Roman" w:eastAsia="Times New Roman" w:hAnsi="Times New Roman"/>
                <w:sz w:val="12"/>
                <w:szCs w:val="12"/>
                <w:color w:val="auto"/>
                <w:w w:val="99"/>
              </w:rPr>
              <w:t>Registrant’s telephone number, including area code</w:t>
            </w:r>
          </w:p>
        </w:tc>
        <w:tc>
          <w:tcPr>
            <w:tcW w:w="1980" w:type="dxa"/>
            <w:vAlign w:val="bottom"/>
          </w:tcPr>
          <w:p>
            <w:pPr>
              <w:spacing w:after="0"/>
              <w:rPr>
                <w:sz w:val="13"/>
                <w:szCs w:val="13"/>
                <w:color w:val="auto"/>
              </w:rPr>
            </w:pPr>
          </w:p>
        </w:tc>
      </w:tr>
      <w:tr>
        <w:trPr>
          <w:trHeight w:val="277"/>
        </w:trPr>
        <w:tc>
          <w:tcPr>
            <w:tcW w:w="5980" w:type="dxa"/>
            <w:vAlign w:val="bottom"/>
          </w:tcPr>
          <w:p>
            <w:pPr>
              <w:jc w:val="center"/>
              <w:ind w:left="2477"/>
              <w:spacing w:after="0"/>
              <w:rPr>
                <w:sz w:val="20"/>
                <w:szCs w:val="20"/>
                <w:color w:val="auto"/>
              </w:rPr>
            </w:pPr>
            <w:r>
              <w:rPr>
                <w:rFonts w:ascii="Times New Roman" w:cs="Times New Roman" w:eastAsia="Times New Roman" w:hAnsi="Times New Roman"/>
                <w:sz w:val="12"/>
                <w:szCs w:val="12"/>
                <w:b w:val="1"/>
                <w:bCs w:val="1"/>
                <w:color w:val="auto"/>
                <w:w w:val="96"/>
              </w:rPr>
              <w:t>N/A</w:t>
            </w:r>
          </w:p>
        </w:tc>
        <w:tc>
          <w:tcPr>
            <w:tcW w:w="1980" w:type="dxa"/>
            <w:vAlign w:val="bottom"/>
          </w:tcPr>
          <w:p>
            <w:pPr>
              <w:spacing w:after="0"/>
              <w:rPr>
                <w:sz w:val="24"/>
                <w:szCs w:val="24"/>
                <w:color w:val="auto"/>
              </w:rPr>
            </w:pPr>
          </w:p>
        </w:tc>
      </w:tr>
      <w:tr>
        <w:trPr>
          <w:trHeight w:val="155"/>
        </w:trPr>
        <w:tc>
          <w:tcPr>
            <w:tcW w:w="5980" w:type="dxa"/>
            <w:vAlign w:val="bottom"/>
          </w:tcPr>
          <w:p>
            <w:pPr>
              <w:jc w:val="center"/>
              <w:ind w:left="247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1980" w:type="dxa"/>
            <w:vAlign w:val="bottom"/>
          </w:tcPr>
          <w:p>
            <w:pPr>
              <w:spacing w:after="0"/>
              <w:rPr>
                <w:sz w:val="13"/>
                <w:szCs w:val="13"/>
                <w:color w:val="auto"/>
              </w:rPr>
            </w:pPr>
          </w:p>
        </w:tc>
      </w:tr>
    </w:tbl>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500" w:hanging="496"/>
        <w:spacing w:after="0"/>
        <w:tabs>
          <w:tab w:leader="none" w:pos="5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7" w:lineRule="exact"/>
        <w:rPr>
          <w:rFonts w:ascii="MS PGothic" w:cs="MS PGothic" w:eastAsia="MS PGothic" w:hAnsi="MS PGothic"/>
          <w:sz w:val="12"/>
          <w:szCs w:val="12"/>
          <w:color w:val="auto"/>
        </w:rPr>
      </w:pPr>
    </w:p>
    <w:p>
      <w:pPr>
        <w:ind w:left="500" w:hanging="496"/>
        <w:spacing w:after="0"/>
        <w:tabs>
          <w:tab w:leader="none" w:pos="5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 w:lineRule="exact"/>
        <w:rPr>
          <w:rFonts w:ascii="MS PGothic" w:cs="MS PGothic" w:eastAsia="MS PGothic" w:hAnsi="MS PGothic"/>
          <w:sz w:val="12"/>
          <w:szCs w:val="12"/>
          <w:color w:val="auto"/>
        </w:rPr>
      </w:pPr>
    </w:p>
    <w:p>
      <w:pPr>
        <w:ind w:left="500" w:hanging="496"/>
        <w:spacing w:after="0"/>
        <w:tabs>
          <w:tab w:leader="none" w:pos="5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 w:lineRule="exact"/>
        <w:rPr>
          <w:rFonts w:ascii="MS PGothic" w:cs="MS PGothic" w:eastAsia="MS PGothic" w:hAnsi="MS PGothic"/>
          <w:sz w:val="12"/>
          <w:szCs w:val="12"/>
          <w:color w:val="auto"/>
        </w:rPr>
      </w:pPr>
    </w:p>
    <w:p>
      <w:pPr>
        <w:ind w:left="500" w:hanging="496"/>
        <w:spacing w:after="0"/>
        <w:tabs>
          <w:tab w:leader="none" w:pos="5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580" w:type="dxa"/>
            <w:vAlign w:val="bottom"/>
          </w:tcPr>
          <w:p>
            <w:pPr>
              <w:spacing w:after="0"/>
              <w:rPr>
                <w:sz w:val="13"/>
                <w:szCs w:val="13"/>
                <w:color w:val="auto"/>
              </w:rPr>
            </w:pPr>
          </w:p>
        </w:tc>
        <w:tc>
          <w:tcPr>
            <w:tcW w:w="3740" w:type="dxa"/>
            <w:vAlign w:val="bottom"/>
          </w:tcPr>
          <w:p>
            <w:pPr>
              <w:ind w:left="60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3620" w:type="dxa"/>
            <w:vAlign w:val="bottom"/>
          </w:tcPr>
          <w:p>
            <w:pPr>
              <w:spacing w:after="0"/>
              <w:rPr>
                <w:sz w:val="13"/>
                <w:szCs w:val="13"/>
                <w:color w:val="auto"/>
              </w:rPr>
            </w:pPr>
          </w:p>
        </w:tc>
      </w:tr>
      <w:tr>
        <w:trPr>
          <w:trHeight w:val="171"/>
        </w:trPr>
        <w:tc>
          <w:tcPr>
            <w:tcW w:w="3580" w:type="dxa"/>
            <w:vAlign w:val="bottom"/>
            <w:tcBorders>
              <w:bottom w:val="single" w:sz="8" w:color="auto"/>
            </w:tcBorders>
          </w:tcPr>
          <w:p>
            <w:pPr>
              <w:jc w:val="center"/>
              <w:ind w:left="90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620" w:type="dxa"/>
            <w:vAlign w:val="bottom"/>
            <w:tcBorders>
              <w:bottom w:val="single" w:sz="8" w:color="auto"/>
            </w:tcBorders>
          </w:tcPr>
          <w:p>
            <w:pPr>
              <w:jc w:val="center"/>
              <w:ind w:right="940"/>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4"/>
        </w:trPr>
        <w:tc>
          <w:tcPr>
            <w:tcW w:w="3580" w:type="dxa"/>
            <w:vAlign w:val="bottom"/>
          </w:tcPr>
          <w:p>
            <w:pPr>
              <w:jc w:val="center"/>
              <w:ind w:left="920"/>
              <w:spacing w:after="0"/>
              <w:rPr>
                <w:sz w:val="20"/>
                <w:szCs w:val="20"/>
                <w:color w:val="auto"/>
              </w:rPr>
            </w:pPr>
            <w:r>
              <w:rPr>
                <w:rFonts w:ascii="Times New Roman" w:cs="Times New Roman" w:eastAsia="Times New Roman" w:hAnsi="Times New Roman"/>
                <w:sz w:val="12"/>
                <w:szCs w:val="12"/>
                <w:color w:val="auto"/>
                <w:w w:val="99"/>
              </w:rPr>
              <w:t>Common Stock, no par value</w:t>
            </w:r>
          </w:p>
        </w:tc>
        <w:tc>
          <w:tcPr>
            <w:tcW w:w="3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WCCB</w:t>
            </w:r>
          </w:p>
        </w:tc>
        <w:tc>
          <w:tcPr>
            <w:tcW w:w="3620" w:type="dxa"/>
            <w:vAlign w:val="bottom"/>
          </w:tcPr>
          <w:p>
            <w:pPr>
              <w:jc w:val="center"/>
              <w:ind w:right="940"/>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203" w:lineRule="exact"/>
        <w:rPr>
          <w:sz w:val="24"/>
          <w:szCs w:val="24"/>
          <w:color w:val="auto"/>
        </w:rPr>
      </w:pPr>
    </w:p>
    <w:p>
      <w:pPr>
        <w:ind w:right="80"/>
        <w:spacing w:after="0" w:line="25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38" w:lineRule="exact"/>
        <w:tabs>
          <w:tab w:leader="none" w:pos="2500"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85" w:lineRule="exact"/>
        <w:rPr>
          <w:sz w:val="24"/>
          <w:szCs w:val="24"/>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1028065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787"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October 27, 2026, West Coast Community Bancorp (the “Company”) issued a press release announcing its unaudited results of operations and financial condition for the quarter ended September 30, 2026. A copy of the press release is furnished as Exhibit 99.1 and is incorporated herein by reference.</w:t>
      </w:r>
    </w:p>
    <w:p>
      <w:pPr>
        <w:spacing w:after="0" w:line="1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This information (including Exhibit 99.1) is being furnished under Item 2.02 and shall not be deemed “filed” for the purposes of Section 18 of the Securities Exchange Act of 1934, as amended (the “Exchange Act”), or otherwise subject to the liabilities of that section and such information shall not be deemed incorporated by reference in any filing under the Securities Act of 1933, as amended, or the Exchange Act, except as shall be expressly set forth by specific reference in such a filing.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7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Furnished hereto as Exhibit 99.2 and incorporated into this Item 7.01 by reference, is an investor presentation for the quarter ended September 30, 2026 prepared by the Company. The Company intends to use the presentation in meetings with investors, shareholders, and other constituents.</w:t>
      </w:r>
    </w:p>
    <w:p>
      <w:pPr>
        <w:spacing w:after="0" w:line="12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This information (including Exhibit 99.2) is being furnished under Item 7.01 and shall not be deemed “filed” for purposes of Section 18 of the Exchange Act, or otherwise subject to the liabilities of that section, and such information shall not be deemed incorporated by reference in any filing under the Securities Act of 1933, as amended, or the Exchange Act, except as shall be expressly set forth by specific reference in such a filing.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tc>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06"/>
        </w:trPr>
        <w:tc>
          <w:tcPr>
            <w:tcW w:w="2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3"/>
        </w:trPr>
        <w:tc>
          <w:tcPr>
            <w:tcW w:w="2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0" w:type="dxa"/>
            <w:vAlign w:val="bottom"/>
          </w:tcPr>
          <w:p>
            <w:pPr>
              <w:spacing w:after="0"/>
              <w:rPr>
                <w:sz w:val="24"/>
                <w:szCs w:val="24"/>
                <w:color w:val="auto"/>
              </w:rPr>
            </w:pPr>
          </w:p>
        </w:tc>
        <w:tc>
          <w:tcPr>
            <w:tcW w:w="88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15"/>
        </w:trPr>
        <w:tc>
          <w:tcPr>
            <w:tcW w:w="236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40" w:type="dxa"/>
            <w:vAlign w:val="bottom"/>
            <w:tcBorders>
              <w:top w:val="single" w:sz="8" w:color="auto"/>
              <w:bottom w:val="single" w:sz="8" w:color="0000FF"/>
            </w:tcBorders>
          </w:tcPr>
          <w:p>
            <w:pPr>
              <w:spacing w:after="0" w:line="115" w:lineRule="exact"/>
              <w:rPr>
                <w:sz w:val="20"/>
                <w:szCs w:val="20"/>
                <w:color w:val="auto"/>
              </w:rPr>
            </w:pPr>
            <w:r>
              <w:rPr>
                <w:rFonts w:ascii="Times New Roman" w:cs="Times New Roman" w:eastAsia="Times New Roman" w:hAnsi="Times New Roman"/>
                <w:sz w:val="12"/>
                <w:szCs w:val="12"/>
                <w:color w:val="0000FF"/>
                <w:w w:val="98"/>
              </w:rPr>
              <w:t>Press Release, dated October 27, 2026</w:t>
            </w:r>
          </w:p>
        </w:tc>
        <w:tc>
          <w:tcPr>
            <w:tcW w:w="6940" w:type="dxa"/>
            <w:vAlign w:val="bottom"/>
            <w:tcBorders>
              <w:top w:val="single" w:sz="8" w:color="auto"/>
            </w:tcBorders>
            <w:gridSpan w:val="2"/>
          </w:tcPr>
          <w:p>
            <w:pPr>
              <w:spacing w:after="0"/>
              <w:rPr>
                <w:sz w:val="10"/>
                <w:szCs w:val="10"/>
                <w:color w:val="auto"/>
              </w:rPr>
            </w:pPr>
          </w:p>
        </w:tc>
        <w:tc>
          <w:tcPr>
            <w:tcW w:w="60" w:type="dxa"/>
            <w:vAlign w:val="bottom"/>
          </w:tcPr>
          <w:p>
            <w:pPr>
              <w:spacing w:after="0"/>
              <w:rPr>
                <w:sz w:val="10"/>
                <w:szCs w:val="10"/>
                <w:color w:val="auto"/>
              </w:rPr>
            </w:pPr>
          </w:p>
        </w:tc>
      </w:tr>
      <w:tr>
        <w:trPr>
          <w:trHeight w:val="133"/>
        </w:trPr>
        <w:tc>
          <w:tcPr>
            <w:tcW w:w="23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4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Investor Presentation, Third Quarter 2026</w:t>
            </w:r>
          </w:p>
        </w:tc>
      </w:tr>
      <w:tr>
        <w:trPr>
          <w:trHeight w:val="20"/>
        </w:trPr>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r>
      <w:tr>
        <w:trPr>
          <w:trHeight w:val="160"/>
        </w:trPr>
        <w:tc>
          <w:tcPr>
            <w:tcW w:w="23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999"/>
        </w:trPr>
        <w:tc>
          <w:tcPr>
            <w:tcW w:w="2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89" w:right="299" w:bottom="1440" w:gutter="0" w:footer="0" w:header="0"/>
        </w:sectPr>
      </w:pPr>
    </w:p>
    <w:bookmarkStart w:id="2" w:name="page3"/>
    <w:bookmarkEnd w:id="2"/>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 October 27, 2026</w:t>
      </w:r>
    </w:p>
    <w:p>
      <w:pPr>
        <w:spacing w:after="0" w:line="18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b w:val="1"/>
          <w:bCs w:val="1"/>
          <w:color w:val="auto"/>
        </w:rPr>
        <w:t>West Coast Community Bancorp</w:t>
      </w:r>
    </w:p>
    <w:p>
      <w:pPr>
        <w:spacing w:after="0" w:line="190" w:lineRule="exact"/>
        <w:rPr>
          <w:sz w:val="20"/>
          <w:szCs w:val="20"/>
          <w:color w:val="auto"/>
        </w:rPr>
      </w:pPr>
    </w:p>
    <w:tbl>
      <w:tblPr>
        <w:tblLayout w:type="fixed"/>
        <w:tblInd w:w="5340" w:type="dxa"/>
        <w:tblCellMar>
          <w:top w:w="0" w:type="dxa"/>
          <w:left w:w="0" w:type="dxa"/>
          <w:bottom w:w="0" w:type="dxa"/>
          <w:right w:w="0" w:type="dxa"/>
        </w:tblCellMar>
      </w:tblPr>
      <w:tr>
        <w:trPr>
          <w:trHeight w:val="155"/>
        </w:trPr>
        <w:tc>
          <w:tcPr>
            <w:tcW w:w="10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Krista Snelling</w:t>
            </w:r>
          </w:p>
        </w:tc>
      </w:tr>
      <w:tr>
        <w:trPr>
          <w:trHeight w:val="140"/>
        </w:trPr>
        <w:tc>
          <w:tcPr>
            <w:tcW w:w="100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4820" w:type="dxa"/>
            <w:vAlign w:val="bottom"/>
          </w:tcPr>
          <w:p>
            <w:pPr>
              <w:spacing w:after="0"/>
              <w:rPr>
                <w:sz w:val="20"/>
                <w:szCs w:val="20"/>
                <w:color w:val="auto"/>
              </w:rPr>
            </w:pPr>
            <w:r>
              <w:rPr>
                <w:rFonts w:ascii="Times New Roman" w:cs="Times New Roman" w:eastAsia="Times New Roman" w:hAnsi="Times New Roman"/>
                <w:sz w:val="12"/>
                <w:szCs w:val="12"/>
                <w:color w:val="auto"/>
              </w:rPr>
              <w:t>Krista Snelling</w:t>
            </w:r>
          </w:p>
        </w:tc>
      </w:tr>
      <w:tr>
        <w:trPr>
          <w:trHeight w:val="155"/>
        </w:trPr>
        <w:tc>
          <w:tcPr>
            <w:tcW w:w="10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2"/>
                <w:szCs w:val="12"/>
                <w:color w:val="auto"/>
              </w:rPr>
              <w:t>Chairman and Chief Executive Officer</w:t>
            </w:r>
          </w:p>
        </w:tc>
      </w:tr>
    </w:tbl>
    <w:p>
      <w:pPr>
        <w:sectPr>
          <w:pgSz w:w="11900" w:h="16838" w:orient="portrait"/>
          <w:cols w:equalWidth="0" w:num="1">
            <w:col w:w="11160"/>
          </w:cols>
          <w:pgMar w:left="500" w:top="98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2677160</wp:posOffset>
            </wp:positionH>
            <wp:positionV relativeFrom="page">
              <wp:posOffset>431800</wp:posOffset>
            </wp:positionV>
            <wp:extent cx="2194560" cy="314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94560" cy="314325"/>
                    </a:xfrm>
                    <a:prstGeom prst="rect">
                      <a:avLst/>
                    </a:prstGeom>
                    <a:noFill/>
                  </pic:spPr>
                </pic:pic>
              </a:graphicData>
            </a:graphic>
          </wp:anchor>
        </w:drawing>
        <w:t>West Coast Community Bancorp Announces Earnings for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Third Quarter of 2026</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SANTA CRUZ, Calif. – Oct. 27, 2026 (GLOBE NEWSWIRE) -- West Coast Community Bancorp (Nasdaq: WCCB) ("Bancorp" or the "Company"), the parent company of West Coast Community Bank (the “Bank”), announced unaudited net income for the quarter ended September 30, 2026, of $16.7 million, compared to $12.2 million for the second quarter of 2026, representing an increase of 37.7%. Net income was $43.9 million and $36.7 million for the nine months ended September 30, 2026, and 2025, respectively, representing an increase of 19.7%. Diluted earnings per share (“EPS”) for the third quarter of 2026 were $1.59 compared to $1.16 for the second quarter of 2026. Diluted EPS was $4.17 and $3.45 for the nine months ended September 30, 2026, and 2025, respectively.</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Earnings for the third quarter of 2026 reflected higher net interest income stemming from growth in all categories of average interest-earning assets, including growth in loans, as well as the recognition of a $920 thousand income tax benefit associated with the Bank's purchase of renewable energy tax credits at a discount during the third quarter. This income tax benefit increased both basic and diluted EPS by approximately $0.09 during the three and nine months ended September 30, 2026. Earnings for the third quarter also benefited from the absence of $1.8 million of accelerated purchase discount accretion, which was recorded in the second quarter of 2026, and was associated with the redemption of higher-cost subordinated debentures assumed in the merger with 1</w:t>
      </w:r>
      <w:r>
        <w:rPr>
          <w:rFonts w:ascii="Arial" w:cs="Arial" w:eastAsia="Arial" w:hAnsi="Arial"/>
          <w:sz w:val="15"/>
          <w:szCs w:val="15"/>
          <w:color w:val="auto"/>
          <w:vertAlign w:val="superscript"/>
        </w:rPr>
        <w:t>st</w:t>
      </w:r>
      <w:r>
        <w:rPr>
          <w:rFonts w:ascii="Arial" w:cs="Arial" w:eastAsia="Arial" w:hAnsi="Arial"/>
          <w:sz w:val="12"/>
          <w:szCs w:val="12"/>
          <w:color w:val="auto"/>
        </w:rPr>
        <w:t xml:space="preserve"> Capital Bancorp in 2024 ("sub debt redemption"). The sub debt redemption reduced both basic and diluted EPS by approximately $0.12 during the second quarter as well as for the nine months ended September 30, 2026.</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"We delivered record quarterly earnings, marked by higher net interest income driven by solid loan growth – particularly by our San Luis Obispo County team – and overall higher average interest-earning assets funded through healthy deposit growth during the quarter,” said Krista Snelling, Chairman and Chief Executive Officer of West Coast Community Bancorp. "This quarter saw tremendous momentum across the business, including our expansion into Silicon Valley and the Peninsula and our Nasdaq listing. We continue to execute on our strategic priorities and growth initiatives, such as hiring our Private Banking team and opening new branches."</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As previously announced on October 19, 2026, the Bancorp Board of Directors declared a quarterly cash dividend of $0.29 per common share, reflecting a $0.04 per share increase over the previous quarterly dividend. This dividend is payable on or about November 6, 2026, to shareholders of record as of November 2, 2026. “Increasing the dividend reflects the strength of our business, the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confidence of our Board in our capacity for future growth and a commitment to rewarding our shareholders,” added Snelling</w:t>
      </w:r>
      <w:r>
        <w:rPr>
          <w:rFonts w:ascii="Arial" w:cs="Arial" w:eastAsia="Arial" w:hAnsi="Arial"/>
          <w:sz w:val="14"/>
          <w:szCs w:val="14"/>
          <w:color w:val="auto"/>
        </w:rPr>
        <w: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300"/>
          </w:cols>
          <w:pgMar w:left="300" w:top="1385" w:right="29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auto"/>
        </w:rPr>
        <w:t>Financial Highlights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9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gridSpan w:val="4"/>
          </w:tcPr>
          <w:p>
            <w:pPr>
              <w:jc w:val="center"/>
              <w:ind w:left="887"/>
              <w:spacing w:after="0"/>
              <w:rPr>
                <w:sz w:val="20"/>
                <w:szCs w:val="20"/>
                <w:color w:val="auto"/>
              </w:rPr>
            </w:pPr>
            <w:r>
              <w:rPr>
                <w:rFonts w:ascii="Arial" w:cs="Arial" w:eastAsia="Arial" w:hAnsi="Arial"/>
                <w:sz w:val="10"/>
                <w:szCs w:val="10"/>
                <w:b w:val="1"/>
                <w:bCs w:val="1"/>
                <w:color w:val="auto"/>
                <w:w w:val="95"/>
              </w:rPr>
              <w:t>As of or for the Three Months Ended</w:t>
            </w:r>
          </w:p>
        </w:tc>
        <w:tc>
          <w:tcPr>
            <w:tcW w:w="11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gridSpan w:val="3"/>
          </w:tcPr>
          <w:p>
            <w:pPr>
              <w:jc w:val="right"/>
              <w:ind w:right="767"/>
              <w:spacing w:after="0"/>
              <w:rPr>
                <w:sz w:val="20"/>
                <w:szCs w:val="20"/>
                <w:color w:val="auto"/>
              </w:rPr>
            </w:pPr>
            <w:r>
              <w:rPr>
                <w:rFonts w:ascii="Arial" w:cs="Arial" w:eastAsia="Arial" w:hAnsi="Arial"/>
                <w:sz w:val="10"/>
                <w:szCs w:val="10"/>
                <w:b w:val="1"/>
                <w:bCs w:val="1"/>
                <w:color w:val="auto"/>
              </w:rPr>
              <w:t>For the Nine Months Ended</w:t>
            </w:r>
          </w:p>
        </w:tc>
      </w:tr>
      <w:tr>
        <w:trPr>
          <w:trHeight w:val="136"/>
        </w:trPr>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ind w:right="367"/>
              <w:spacing w:after="0"/>
              <w:rPr>
                <w:sz w:val="20"/>
                <w:szCs w:val="20"/>
                <w:color w:val="auto"/>
              </w:rPr>
            </w:pPr>
            <w:r>
              <w:rPr>
                <w:rFonts w:ascii="Arial" w:cs="Arial" w:eastAsia="Arial" w:hAnsi="Arial"/>
                <w:sz w:val="10"/>
                <w:szCs w:val="10"/>
                <w:b w:val="1"/>
                <w:bCs w:val="1"/>
                <w:color w:val="auto"/>
              </w:rPr>
              <w:t>September 30,</w:t>
            </w:r>
          </w:p>
        </w:tc>
        <w:tc>
          <w:tcPr>
            <w:tcW w:w="340" w:type="dxa"/>
            <w:vAlign w:val="bottom"/>
          </w:tcPr>
          <w:p>
            <w:pPr>
              <w:spacing w:after="0"/>
              <w:rPr>
                <w:sz w:val="11"/>
                <w:szCs w:val="11"/>
                <w:color w:val="auto"/>
              </w:rPr>
            </w:pPr>
          </w:p>
        </w:tc>
        <w:tc>
          <w:tcPr>
            <w:tcW w:w="1160" w:type="dxa"/>
            <w:vAlign w:val="bottom"/>
          </w:tcPr>
          <w:p>
            <w:pPr>
              <w:jc w:val="center"/>
              <w:ind w:right="287"/>
              <w:spacing w:after="0"/>
              <w:rPr>
                <w:sz w:val="20"/>
                <w:szCs w:val="20"/>
                <w:color w:val="auto"/>
              </w:rPr>
            </w:pPr>
            <w:r>
              <w:rPr>
                <w:rFonts w:ascii="Arial" w:cs="Arial" w:eastAsia="Arial" w:hAnsi="Arial"/>
                <w:sz w:val="10"/>
                <w:szCs w:val="10"/>
                <w:b w:val="1"/>
                <w:bCs w:val="1"/>
                <w:color w:val="auto"/>
                <w:w w:val="94"/>
              </w:rPr>
              <w:t>June 30,</w:t>
            </w:r>
          </w:p>
        </w:tc>
        <w:tc>
          <w:tcPr>
            <w:tcW w:w="280" w:type="dxa"/>
            <w:vAlign w:val="bottom"/>
          </w:tcPr>
          <w:p>
            <w:pPr>
              <w:spacing w:after="0"/>
              <w:rPr>
                <w:sz w:val="11"/>
                <w:szCs w:val="11"/>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6"/>
              </w:rPr>
              <w:t>September 30,</w:t>
            </w:r>
          </w:p>
        </w:tc>
        <w:tc>
          <w:tcPr>
            <w:tcW w:w="260" w:type="dxa"/>
            <w:vAlign w:val="bottom"/>
          </w:tcPr>
          <w:p>
            <w:pPr>
              <w:spacing w:after="0"/>
              <w:rPr>
                <w:sz w:val="11"/>
                <w:szCs w:val="11"/>
                <w:color w:val="auto"/>
              </w:rPr>
            </w:pPr>
          </w:p>
        </w:tc>
        <w:tc>
          <w:tcPr>
            <w:tcW w:w="1180" w:type="dxa"/>
            <w:vAlign w:val="bottom"/>
          </w:tcPr>
          <w:p>
            <w:pPr>
              <w:jc w:val="right"/>
              <w:ind w:right="367"/>
              <w:spacing w:after="0"/>
              <w:rPr>
                <w:sz w:val="20"/>
                <w:szCs w:val="20"/>
                <w:color w:val="auto"/>
              </w:rPr>
            </w:pPr>
            <w:r>
              <w:rPr>
                <w:rFonts w:ascii="Arial" w:cs="Arial" w:eastAsia="Arial" w:hAnsi="Arial"/>
                <w:sz w:val="10"/>
                <w:szCs w:val="10"/>
                <w:b w:val="1"/>
                <w:bCs w:val="1"/>
                <w:color w:val="auto"/>
              </w:rPr>
              <w:t>September 30,</w:t>
            </w:r>
          </w:p>
        </w:tc>
        <w:tc>
          <w:tcPr>
            <w:tcW w:w="280" w:type="dxa"/>
            <w:vAlign w:val="bottom"/>
          </w:tcPr>
          <w:p>
            <w:pPr>
              <w:spacing w:after="0"/>
              <w:rPr>
                <w:sz w:val="11"/>
                <w:szCs w:val="11"/>
                <w:color w:val="auto"/>
              </w:rPr>
            </w:pPr>
          </w:p>
        </w:tc>
        <w:tc>
          <w:tcPr>
            <w:tcW w:w="1180" w:type="dxa"/>
            <w:vAlign w:val="bottom"/>
          </w:tcPr>
          <w:p>
            <w:pPr>
              <w:jc w:val="right"/>
              <w:ind w:right="327"/>
              <w:spacing w:after="0"/>
              <w:rPr>
                <w:sz w:val="20"/>
                <w:szCs w:val="20"/>
                <w:color w:val="auto"/>
              </w:rPr>
            </w:pPr>
            <w:r>
              <w:rPr>
                <w:rFonts w:ascii="Arial" w:cs="Arial" w:eastAsia="Arial" w:hAnsi="Arial"/>
                <w:sz w:val="10"/>
                <w:szCs w:val="10"/>
                <w:b w:val="1"/>
                <w:bCs w:val="1"/>
                <w:color w:val="auto"/>
              </w:rPr>
              <w:t>September 30,</w:t>
            </w:r>
          </w:p>
        </w:tc>
      </w:tr>
      <w:tr>
        <w:trPr>
          <w:trHeight w:val="158"/>
        </w:trPr>
        <w:tc>
          <w:tcPr>
            <w:tcW w:w="39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7"/>
              <w:spacing w:after="0"/>
              <w:rPr>
                <w:sz w:val="20"/>
                <w:szCs w:val="20"/>
                <w:color w:val="auto"/>
              </w:rPr>
            </w:pPr>
            <w:r>
              <w:rPr>
                <w:rFonts w:ascii="Arial" w:cs="Arial" w:eastAsia="Arial" w:hAnsi="Arial"/>
                <w:sz w:val="10"/>
                <w:szCs w:val="10"/>
                <w:b w:val="1"/>
                <w:bCs w:val="1"/>
                <w:color w:val="auto"/>
              </w:rPr>
              <w:t>2026</w:t>
            </w: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287"/>
              <w:spacing w:after="0"/>
              <w:rPr>
                <w:sz w:val="20"/>
                <w:szCs w:val="20"/>
                <w:color w:val="auto"/>
              </w:rPr>
            </w:pPr>
            <w:r>
              <w:rPr>
                <w:rFonts w:ascii="Arial" w:cs="Arial" w:eastAsia="Arial" w:hAnsi="Arial"/>
                <w:sz w:val="10"/>
                <w:szCs w:val="10"/>
                <w:b w:val="1"/>
                <w:bCs w:val="1"/>
                <w:color w:val="auto"/>
                <w:w w:val="98"/>
              </w:rPr>
              <w:t>2026</w:t>
            </w: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67"/>
              <w:spacing w:after="0"/>
              <w:rPr>
                <w:sz w:val="20"/>
                <w:szCs w:val="20"/>
                <w:color w:val="auto"/>
              </w:rPr>
            </w:pPr>
            <w:r>
              <w:rPr>
                <w:rFonts w:ascii="Arial" w:cs="Arial" w:eastAsia="Arial" w:hAnsi="Arial"/>
                <w:sz w:val="10"/>
                <w:szCs w:val="10"/>
                <w:b w:val="1"/>
                <w:bCs w:val="1"/>
                <w:color w:val="auto"/>
                <w:w w:val="98"/>
              </w:rPr>
              <w:t>2025</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7"/>
              <w:spacing w:after="0"/>
              <w:rPr>
                <w:sz w:val="20"/>
                <w:szCs w:val="20"/>
                <w:color w:val="auto"/>
              </w:rPr>
            </w:pPr>
            <w:r>
              <w:rPr>
                <w:rFonts w:ascii="Arial" w:cs="Arial" w:eastAsia="Arial" w:hAnsi="Arial"/>
                <w:sz w:val="10"/>
                <w:szCs w:val="10"/>
                <w:b w:val="1"/>
                <w:bCs w:val="1"/>
                <w:color w:val="auto"/>
              </w:rPr>
              <w:t>2026</w:t>
            </w: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47"/>
              <w:spacing w:after="0"/>
              <w:rPr>
                <w:sz w:val="20"/>
                <w:szCs w:val="20"/>
                <w:color w:val="auto"/>
              </w:rPr>
            </w:pPr>
            <w:r>
              <w:rPr>
                <w:rFonts w:ascii="Arial" w:cs="Arial" w:eastAsia="Arial" w:hAnsi="Arial"/>
                <w:sz w:val="10"/>
                <w:szCs w:val="10"/>
                <w:b w:val="1"/>
                <w:bCs w:val="1"/>
                <w:color w:val="auto"/>
              </w:rPr>
              <w:t>2025</w:t>
            </w:r>
          </w:p>
        </w:tc>
      </w:tr>
      <w:tr>
        <w:trPr>
          <w:trHeight w:val="140"/>
        </w:trPr>
        <w:tc>
          <w:tcPr>
            <w:tcW w:w="3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80" w:type="dxa"/>
            <w:vAlign w:val="bottom"/>
            <w:gridSpan w:val="5"/>
          </w:tcPr>
          <w:p>
            <w:pPr>
              <w:jc w:val="center"/>
              <w:ind w:left="807"/>
              <w:spacing w:after="0"/>
              <w:rPr>
                <w:sz w:val="20"/>
                <w:szCs w:val="20"/>
                <w:color w:val="auto"/>
              </w:rPr>
            </w:pPr>
            <w:r>
              <w:rPr>
                <w:rFonts w:ascii="Arial" w:cs="Arial" w:eastAsia="Arial" w:hAnsi="Arial"/>
                <w:sz w:val="10"/>
                <w:szCs w:val="10"/>
                <w:i w:val="1"/>
                <w:iCs w:val="1"/>
                <w:color w:val="auto"/>
                <w:w w:val="96"/>
              </w:rPr>
              <w:t>(Dollars in thousands, except per share data)</w:t>
            </w: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67"/>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Selected Financial Data</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48"/>
        </w:trPr>
        <w:tc>
          <w:tcPr>
            <w:tcW w:w="3900" w:type="dxa"/>
            <w:vAlign w:val="bottom"/>
          </w:tcPr>
          <w:p>
            <w:pPr>
              <w:ind w:left="80"/>
              <w:spacing w:after="0"/>
              <w:rPr>
                <w:sz w:val="20"/>
                <w:szCs w:val="20"/>
                <w:color w:val="auto"/>
              </w:rPr>
            </w:pPr>
            <w:r>
              <w:rPr>
                <w:rFonts w:ascii="Arial" w:cs="Arial" w:eastAsia="Arial" w:hAnsi="Arial"/>
                <w:sz w:val="11"/>
                <w:szCs w:val="11"/>
                <w:color w:val="auto"/>
              </w:rPr>
              <w:t>Net income</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87"/>
              <w:spacing w:after="0"/>
              <w:rPr>
                <w:sz w:val="20"/>
                <w:szCs w:val="20"/>
                <w:color w:val="auto"/>
              </w:rPr>
            </w:pPr>
            <w:r>
              <w:rPr>
                <w:rFonts w:ascii="Arial" w:cs="Arial" w:eastAsia="Arial" w:hAnsi="Arial"/>
                <w:sz w:val="11"/>
                <w:szCs w:val="11"/>
                <w:color w:val="auto"/>
              </w:rPr>
              <w:t>16,740</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87"/>
              <w:spacing w:after="0"/>
              <w:rPr>
                <w:sz w:val="20"/>
                <w:szCs w:val="20"/>
                <w:color w:val="auto"/>
              </w:rPr>
            </w:pPr>
            <w:r>
              <w:rPr>
                <w:rFonts w:ascii="Arial" w:cs="Arial" w:eastAsia="Arial" w:hAnsi="Arial"/>
                <w:sz w:val="11"/>
                <w:szCs w:val="11"/>
                <w:color w:val="auto"/>
              </w:rPr>
              <w:t>12,161</w:t>
            </w:r>
          </w:p>
        </w:tc>
        <w:tc>
          <w:tcPr>
            <w:tcW w:w="2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27"/>
              <w:spacing w:after="0"/>
              <w:rPr>
                <w:sz w:val="20"/>
                <w:szCs w:val="20"/>
                <w:color w:val="auto"/>
              </w:rPr>
            </w:pPr>
            <w:r>
              <w:rPr>
                <w:rFonts w:ascii="Arial" w:cs="Arial" w:eastAsia="Arial" w:hAnsi="Arial"/>
                <w:sz w:val="11"/>
                <w:szCs w:val="11"/>
                <w:color w:val="auto"/>
              </w:rPr>
              <w:t>12,061</w:t>
            </w:r>
          </w:p>
        </w:tc>
        <w:tc>
          <w:tcPr>
            <w:tcW w:w="12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87"/>
              <w:spacing w:after="0"/>
              <w:rPr>
                <w:sz w:val="20"/>
                <w:szCs w:val="20"/>
                <w:color w:val="auto"/>
              </w:rPr>
            </w:pPr>
            <w:r>
              <w:rPr>
                <w:rFonts w:ascii="Arial" w:cs="Arial" w:eastAsia="Arial" w:hAnsi="Arial"/>
                <w:sz w:val="11"/>
                <w:szCs w:val="11"/>
                <w:color w:val="auto"/>
              </w:rPr>
              <w:t>43,888</w:t>
            </w:r>
          </w:p>
        </w:tc>
        <w:tc>
          <w:tcPr>
            <w:tcW w:w="2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27"/>
              <w:spacing w:after="0"/>
              <w:rPr>
                <w:sz w:val="20"/>
                <w:szCs w:val="20"/>
                <w:color w:val="auto"/>
              </w:rPr>
            </w:pPr>
            <w:r>
              <w:rPr>
                <w:rFonts w:ascii="Arial" w:cs="Arial" w:eastAsia="Arial" w:hAnsi="Arial"/>
                <w:sz w:val="11"/>
                <w:szCs w:val="11"/>
                <w:color w:val="auto"/>
              </w:rPr>
              <w:t>36,657</w:t>
            </w:r>
          </w:p>
        </w:tc>
      </w:tr>
      <w:tr>
        <w:trPr>
          <w:trHeight w:val="168"/>
        </w:trPr>
        <w:tc>
          <w:tcPr>
            <w:tcW w:w="3900" w:type="dxa"/>
            <w:vAlign w:val="bottom"/>
            <w:shd w:val="clear" w:color="auto" w:fill="CCEEFF"/>
          </w:tcPr>
          <w:p>
            <w:pPr>
              <w:ind w:left="80"/>
              <w:spacing w:after="0"/>
              <w:rPr>
                <w:sz w:val="20"/>
                <w:szCs w:val="20"/>
                <w:color w:val="auto"/>
              </w:rPr>
            </w:pPr>
            <w:r>
              <w:rPr>
                <w:rFonts w:ascii="Arial" w:cs="Arial" w:eastAsia="Arial" w:hAnsi="Arial"/>
                <w:sz w:val="11"/>
                <w:szCs w:val="11"/>
                <w:color w:val="auto"/>
              </w:rPr>
              <w:t>Net interest margin</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5.18 %</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4.90 %</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5.26 %</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5.06 %</w:t>
            </w: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5.27 %</w:t>
            </w:r>
          </w:p>
        </w:tc>
      </w:tr>
      <w:tr>
        <w:trPr>
          <w:trHeight w:val="157"/>
        </w:trPr>
        <w:tc>
          <w:tcPr>
            <w:tcW w:w="3900" w:type="dxa"/>
            <w:vAlign w:val="bottom"/>
          </w:tcPr>
          <w:p>
            <w:pPr>
              <w:ind w:left="80"/>
              <w:spacing w:after="0"/>
              <w:rPr>
                <w:sz w:val="20"/>
                <w:szCs w:val="20"/>
                <w:color w:val="auto"/>
              </w:rPr>
            </w:pPr>
            <w:r>
              <w:rPr>
                <w:rFonts w:ascii="Arial" w:cs="Arial" w:eastAsia="Arial" w:hAnsi="Arial"/>
                <w:sz w:val="11"/>
                <w:szCs w:val="11"/>
                <w:color w:val="auto"/>
              </w:rPr>
              <w:t>Taxable equivalent net interest margin (a)</w:t>
            </w:r>
          </w:p>
        </w:tc>
        <w:tc>
          <w:tcPr>
            <w:tcW w:w="220" w:type="dxa"/>
            <w:vAlign w:val="bottom"/>
          </w:tcPr>
          <w:p>
            <w:pPr>
              <w:spacing w:after="0"/>
              <w:rPr>
                <w:sz w:val="13"/>
                <w:szCs w:val="13"/>
                <w:color w:val="auto"/>
              </w:rPr>
            </w:pPr>
          </w:p>
        </w:tc>
        <w:tc>
          <w:tcPr>
            <w:tcW w:w="1220" w:type="dxa"/>
            <w:vAlign w:val="bottom"/>
          </w:tcPr>
          <w:p>
            <w:pPr>
              <w:jc w:val="right"/>
              <w:ind w:right="7"/>
              <w:spacing w:after="0"/>
              <w:rPr>
                <w:sz w:val="20"/>
                <w:szCs w:val="20"/>
                <w:color w:val="auto"/>
              </w:rPr>
            </w:pPr>
            <w:r>
              <w:rPr>
                <w:rFonts w:ascii="Arial" w:cs="Arial" w:eastAsia="Arial" w:hAnsi="Arial"/>
                <w:sz w:val="11"/>
                <w:szCs w:val="11"/>
                <w:color w:val="auto"/>
              </w:rPr>
              <w:t>5.20 %</w:t>
            </w:r>
          </w:p>
        </w:tc>
        <w:tc>
          <w:tcPr>
            <w:tcW w:w="340" w:type="dxa"/>
            <w:vAlign w:val="bottom"/>
          </w:tcPr>
          <w:p>
            <w:pPr>
              <w:spacing w:after="0"/>
              <w:rPr>
                <w:sz w:val="13"/>
                <w:szCs w:val="13"/>
                <w:color w:val="auto"/>
              </w:rPr>
            </w:pPr>
          </w:p>
        </w:tc>
        <w:tc>
          <w:tcPr>
            <w:tcW w:w="1160" w:type="dxa"/>
            <w:vAlign w:val="bottom"/>
          </w:tcPr>
          <w:p>
            <w:pPr>
              <w:jc w:val="right"/>
              <w:ind w:right="7"/>
              <w:spacing w:after="0"/>
              <w:rPr>
                <w:sz w:val="20"/>
                <w:szCs w:val="20"/>
                <w:color w:val="auto"/>
              </w:rPr>
            </w:pPr>
            <w:r>
              <w:rPr>
                <w:rFonts w:ascii="Arial" w:cs="Arial" w:eastAsia="Arial" w:hAnsi="Arial"/>
                <w:sz w:val="11"/>
                <w:szCs w:val="11"/>
                <w:color w:val="auto"/>
              </w:rPr>
              <w:t>4.92 %</w:t>
            </w: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5.28 %</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7"/>
              <w:spacing w:after="0"/>
              <w:rPr>
                <w:sz w:val="20"/>
                <w:szCs w:val="20"/>
                <w:color w:val="auto"/>
              </w:rPr>
            </w:pPr>
            <w:r>
              <w:rPr>
                <w:rFonts w:ascii="Arial" w:cs="Arial" w:eastAsia="Arial" w:hAnsi="Arial"/>
                <w:sz w:val="11"/>
                <w:szCs w:val="11"/>
                <w:color w:val="auto"/>
              </w:rPr>
              <w:t>5.08 %</w:t>
            </w: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5.29 %</w:t>
            </w:r>
          </w:p>
        </w:tc>
      </w:tr>
      <w:tr>
        <w:trPr>
          <w:trHeight w:val="168"/>
        </w:trPr>
        <w:tc>
          <w:tcPr>
            <w:tcW w:w="390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Cost of funds (b)</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1.31 %</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1.59 %</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1.37 %</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1.39 %</w:t>
            </w: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1.37 %</w:t>
            </w:r>
          </w:p>
        </w:tc>
      </w:tr>
      <w:tr>
        <w:trPr>
          <w:trHeight w:val="156"/>
        </w:trPr>
        <w:tc>
          <w:tcPr>
            <w:tcW w:w="3900" w:type="dxa"/>
            <w:vAlign w:val="bottom"/>
          </w:tcPr>
          <w:p>
            <w:pPr>
              <w:ind w:left="80"/>
              <w:spacing w:after="0"/>
              <w:rPr>
                <w:sz w:val="20"/>
                <w:szCs w:val="20"/>
                <w:color w:val="auto"/>
              </w:rPr>
            </w:pPr>
            <w:r>
              <w:rPr>
                <w:rFonts w:ascii="Arial" w:cs="Arial" w:eastAsia="Arial" w:hAnsi="Arial"/>
                <w:sz w:val="11"/>
                <w:szCs w:val="11"/>
                <w:color w:val="auto"/>
              </w:rPr>
              <w:t>Efficiency ratio (c)</w:t>
            </w:r>
          </w:p>
        </w:tc>
        <w:tc>
          <w:tcPr>
            <w:tcW w:w="220" w:type="dxa"/>
            <w:vAlign w:val="bottom"/>
          </w:tcPr>
          <w:p>
            <w:pPr>
              <w:spacing w:after="0"/>
              <w:rPr>
                <w:sz w:val="13"/>
                <w:szCs w:val="13"/>
                <w:color w:val="auto"/>
              </w:rPr>
            </w:pPr>
          </w:p>
        </w:tc>
        <w:tc>
          <w:tcPr>
            <w:tcW w:w="1220" w:type="dxa"/>
            <w:vAlign w:val="bottom"/>
          </w:tcPr>
          <w:p>
            <w:pPr>
              <w:jc w:val="right"/>
              <w:ind w:right="7"/>
              <w:spacing w:after="0"/>
              <w:rPr>
                <w:sz w:val="20"/>
                <w:szCs w:val="20"/>
                <w:color w:val="auto"/>
              </w:rPr>
            </w:pPr>
            <w:r>
              <w:rPr>
                <w:rFonts w:ascii="Arial" w:cs="Arial" w:eastAsia="Arial" w:hAnsi="Arial"/>
                <w:sz w:val="11"/>
                <w:szCs w:val="11"/>
                <w:color w:val="auto"/>
              </w:rPr>
              <w:t>42.31 %</w:t>
            </w:r>
          </w:p>
        </w:tc>
        <w:tc>
          <w:tcPr>
            <w:tcW w:w="340" w:type="dxa"/>
            <w:vAlign w:val="bottom"/>
          </w:tcPr>
          <w:p>
            <w:pPr>
              <w:spacing w:after="0"/>
              <w:rPr>
                <w:sz w:val="13"/>
                <w:szCs w:val="13"/>
                <w:color w:val="auto"/>
              </w:rPr>
            </w:pPr>
          </w:p>
        </w:tc>
        <w:tc>
          <w:tcPr>
            <w:tcW w:w="1160" w:type="dxa"/>
            <w:vAlign w:val="bottom"/>
          </w:tcPr>
          <w:p>
            <w:pPr>
              <w:jc w:val="right"/>
              <w:ind w:right="7"/>
              <w:spacing w:after="0"/>
              <w:rPr>
                <w:sz w:val="20"/>
                <w:szCs w:val="20"/>
                <w:color w:val="auto"/>
              </w:rPr>
            </w:pPr>
            <w:r>
              <w:rPr>
                <w:rFonts w:ascii="Arial" w:cs="Arial" w:eastAsia="Arial" w:hAnsi="Arial"/>
                <w:sz w:val="11"/>
                <w:szCs w:val="11"/>
                <w:color w:val="auto"/>
              </w:rPr>
              <w:t>46.24 %</w:t>
            </w: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43.13 %</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7"/>
              <w:spacing w:after="0"/>
              <w:rPr>
                <w:sz w:val="20"/>
                <w:szCs w:val="20"/>
                <w:color w:val="auto"/>
              </w:rPr>
            </w:pPr>
            <w:r>
              <w:rPr>
                <w:rFonts w:ascii="Arial" w:cs="Arial" w:eastAsia="Arial" w:hAnsi="Arial"/>
                <w:sz w:val="11"/>
                <w:szCs w:val="11"/>
                <w:color w:val="auto"/>
              </w:rPr>
              <w:t>43.97 %</w:t>
            </w: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44.88 %</w:t>
            </w:r>
          </w:p>
        </w:tc>
      </w:tr>
      <w:tr>
        <w:trPr>
          <w:trHeight w:val="168"/>
        </w:trPr>
        <w:tc>
          <w:tcPr>
            <w:tcW w:w="3900" w:type="dxa"/>
            <w:vAlign w:val="bottom"/>
            <w:shd w:val="clear" w:color="auto" w:fill="CCEEFF"/>
          </w:tcPr>
          <w:p>
            <w:pPr>
              <w:ind w:left="80"/>
              <w:spacing w:after="0"/>
              <w:rPr>
                <w:sz w:val="20"/>
                <w:szCs w:val="20"/>
                <w:color w:val="auto"/>
              </w:rPr>
            </w:pPr>
            <w:r>
              <w:rPr>
                <w:rFonts w:ascii="Arial" w:cs="Arial" w:eastAsia="Arial" w:hAnsi="Arial"/>
                <w:sz w:val="11"/>
                <w:szCs w:val="11"/>
                <w:color w:val="auto"/>
              </w:rPr>
              <w:t>Return on:</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57"/>
        </w:trPr>
        <w:tc>
          <w:tcPr>
            <w:tcW w:w="3900" w:type="dxa"/>
            <w:vAlign w:val="bottom"/>
          </w:tcPr>
          <w:p>
            <w:pPr>
              <w:ind w:left="140"/>
              <w:spacing w:after="0"/>
              <w:rPr>
                <w:sz w:val="20"/>
                <w:szCs w:val="20"/>
                <w:color w:val="auto"/>
              </w:rPr>
            </w:pPr>
            <w:r>
              <w:rPr>
                <w:rFonts w:ascii="Arial" w:cs="Arial" w:eastAsia="Arial" w:hAnsi="Arial"/>
                <w:sz w:val="11"/>
                <w:szCs w:val="11"/>
                <w:color w:val="auto"/>
              </w:rPr>
              <w:t>Average assets</w:t>
            </w:r>
          </w:p>
        </w:tc>
        <w:tc>
          <w:tcPr>
            <w:tcW w:w="220" w:type="dxa"/>
            <w:vAlign w:val="bottom"/>
          </w:tcPr>
          <w:p>
            <w:pPr>
              <w:spacing w:after="0"/>
              <w:rPr>
                <w:sz w:val="13"/>
                <w:szCs w:val="13"/>
                <w:color w:val="auto"/>
              </w:rPr>
            </w:pPr>
          </w:p>
        </w:tc>
        <w:tc>
          <w:tcPr>
            <w:tcW w:w="1220" w:type="dxa"/>
            <w:vAlign w:val="bottom"/>
          </w:tcPr>
          <w:p>
            <w:pPr>
              <w:jc w:val="right"/>
              <w:ind w:right="7"/>
              <w:spacing w:after="0"/>
              <w:rPr>
                <w:sz w:val="20"/>
                <w:szCs w:val="20"/>
                <w:color w:val="auto"/>
              </w:rPr>
            </w:pPr>
            <w:r>
              <w:rPr>
                <w:rFonts w:ascii="Arial" w:cs="Arial" w:eastAsia="Arial" w:hAnsi="Arial"/>
                <w:sz w:val="11"/>
                <w:szCs w:val="11"/>
                <w:color w:val="auto"/>
              </w:rPr>
              <w:t>2.21 %</w:t>
            </w:r>
          </w:p>
        </w:tc>
        <w:tc>
          <w:tcPr>
            <w:tcW w:w="340" w:type="dxa"/>
            <w:vAlign w:val="bottom"/>
          </w:tcPr>
          <w:p>
            <w:pPr>
              <w:spacing w:after="0"/>
              <w:rPr>
                <w:sz w:val="13"/>
                <w:szCs w:val="13"/>
                <w:color w:val="auto"/>
              </w:rPr>
            </w:pPr>
          </w:p>
        </w:tc>
        <w:tc>
          <w:tcPr>
            <w:tcW w:w="1160" w:type="dxa"/>
            <w:vAlign w:val="bottom"/>
          </w:tcPr>
          <w:p>
            <w:pPr>
              <w:jc w:val="right"/>
              <w:ind w:right="7"/>
              <w:spacing w:after="0"/>
              <w:rPr>
                <w:sz w:val="20"/>
                <w:szCs w:val="20"/>
                <w:color w:val="auto"/>
              </w:rPr>
            </w:pPr>
            <w:r>
              <w:rPr>
                <w:rFonts w:ascii="Arial" w:cs="Arial" w:eastAsia="Arial" w:hAnsi="Arial"/>
                <w:sz w:val="11"/>
                <w:szCs w:val="11"/>
                <w:color w:val="auto"/>
              </w:rPr>
              <w:t>1.69 %</w:t>
            </w: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1.73 %</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7"/>
              <w:spacing w:after="0"/>
              <w:rPr>
                <w:sz w:val="20"/>
                <w:szCs w:val="20"/>
                <w:color w:val="auto"/>
              </w:rPr>
            </w:pPr>
            <w:r>
              <w:rPr>
                <w:rFonts w:ascii="Arial" w:cs="Arial" w:eastAsia="Arial" w:hAnsi="Arial"/>
                <w:sz w:val="11"/>
                <w:szCs w:val="11"/>
                <w:color w:val="auto"/>
              </w:rPr>
              <w:t>2.01 %</w:t>
            </w: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1.82 %</w:t>
            </w:r>
          </w:p>
        </w:tc>
      </w:tr>
      <w:tr>
        <w:trPr>
          <w:trHeight w:val="167"/>
        </w:trPr>
        <w:tc>
          <w:tcPr>
            <w:tcW w:w="39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Average equity</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16.44 %</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12.32 %</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13.16 %</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14.84 %</w:t>
            </w: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13.89 %</w:t>
            </w:r>
          </w:p>
        </w:tc>
      </w:tr>
      <w:tr>
        <w:trPr>
          <w:trHeight w:val="157"/>
        </w:trPr>
        <w:tc>
          <w:tcPr>
            <w:tcW w:w="3900" w:type="dxa"/>
            <w:vAlign w:val="bottom"/>
          </w:tcPr>
          <w:p>
            <w:pPr>
              <w:ind w:left="140"/>
              <w:spacing w:after="0"/>
              <w:rPr>
                <w:sz w:val="20"/>
                <w:szCs w:val="20"/>
                <w:color w:val="auto"/>
              </w:rPr>
            </w:pPr>
            <w:r>
              <w:rPr>
                <w:rFonts w:ascii="Arial" w:cs="Arial" w:eastAsia="Arial" w:hAnsi="Arial"/>
                <w:sz w:val="11"/>
                <w:szCs w:val="11"/>
                <w:color w:val="auto"/>
              </w:rPr>
              <w:t>Average tangible equity (d)</w:t>
            </w:r>
          </w:p>
        </w:tc>
        <w:tc>
          <w:tcPr>
            <w:tcW w:w="220" w:type="dxa"/>
            <w:vAlign w:val="bottom"/>
          </w:tcPr>
          <w:p>
            <w:pPr>
              <w:spacing w:after="0"/>
              <w:rPr>
                <w:sz w:val="13"/>
                <w:szCs w:val="13"/>
                <w:color w:val="auto"/>
              </w:rPr>
            </w:pPr>
          </w:p>
        </w:tc>
        <w:tc>
          <w:tcPr>
            <w:tcW w:w="1220" w:type="dxa"/>
            <w:vAlign w:val="bottom"/>
          </w:tcPr>
          <w:p>
            <w:pPr>
              <w:jc w:val="right"/>
              <w:ind w:right="7"/>
              <w:spacing w:after="0"/>
              <w:rPr>
                <w:sz w:val="20"/>
                <w:szCs w:val="20"/>
                <w:color w:val="auto"/>
              </w:rPr>
            </w:pPr>
            <w:r>
              <w:rPr>
                <w:rFonts w:ascii="Arial" w:cs="Arial" w:eastAsia="Arial" w:hAnsi="Arial"/>
                <w:sz w:val="11"/>
                <w:szCs w:val="11"/>
                <w:color w:val="auto"/>
              </w:rPr>
              <w:t>20.20 %</w:t>
            </w:r>
          </w:p>
        </w:tc>
        <w:tc>
          <w:tcPr>
            <w:tcW w:w="340" w:type="dxa"/>
            <w:vAlign w:val="bottom"/>
          </w:tcPr>
          <w:p>
            <w:pPr>
              <w:spacing w:after="0"/>
              <w:rPr>
                <w:sz w:val="13"/>
                <w:szCs w:val="13"/>
                <w:color w:val="auto"/>
              </w:rPr>
            </w:pPr>
          </w:p>
        </w:tc>
        <w:tc>
          <w:tcPr>
            <w:tcW w:w="1160" w:type="dxa"/>
            <w:vAlign w:val="bottom"/>
          </w:tcPr>
          <w:p>
            <w:pPr>
              <w:jc w:val="right"/>
              <w:ind w:right="7"/>
              <w:spacing w:after="0"/>
              <w:rPr>
                <w:sz w:val="20"/>
                <w:szCs w:val="20"/>
                <w:color w:val="auto"/>
              </w:rPr>
            </w:pPr>
            <w:r>
              <w:rPr>
                <w:rFonts w:ascii="Arial" w:cs="Arial" w:eastAsia="Arial" w:hAnsi="Arial"/>
                <w:sz w:val="11"/>
                <w:szCs w:val="11"/>
                <w:color w:val="auto"/>
              </w:rPr>
              <w:t>15.47 %</w:t>
            </w: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17.05 %</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7"/>
              <w:spacing w:after="0"/>
              <w:rPr>
                <w:sz w:val="20"/>
                <w:szCs w:val="20"/>
                <w:color w:val="auto"/>
              </w:rPr>
            </w:pPr>
            <w:r>
              <w:rPr>
                <w:rFonts w:ascii="Arial" w:cs="Arial" w:eastAsia="Arial" w:hAnsi="Arial"/>
                <w:sz w:val="11"/>
                <w:szCs w:val="11"/>
                <w:color w:val="auto"/>
              </w:rPr>
              <w:t>18.47 %</w:t>
            </w: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18.17 %</w:t>
            </w:r>
          </w:p>
        </w:tc>
      </w:tr>
      <w:tr>
        <w:trPr>
          <w:trHeight w:val="168"/>
        </w:trPr>
        <w:tc>
          <w:tcPr>
            <w:tcW w:w="3900" w:type="dxa"/>
            <w:vAlign w:val="bottom"/>
            <w:shd w:val="clear" w:color="auto" w:fill="CCEEFF"/>
          </w:tcPr>
          <w:p>
            <w:pPr>
              <w:ind w:left="80"/>
              <w:spacing w:after="0"/>
              <w:rPr>
                <w:sz w:val="20"/>
                <w:szCs w:val="20"/>
                <w:color w:val="auto"/>
              </w:rPr>
            </w:pPr>
            <w:r>
              <w:rPr>
                <w:rFonts w:ascii="Arial" w:cs="Arial" w:eastAsia="Arial" w:hAnsi="Arial"/>
                <w:sz w:val="11"/>
                <w:szCs w:val="11"/>
                <w:color w:val="auto"/>
              </w:rPr>
              <w:t>Allowance for credit losses on loans / gross loans</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1.57 %</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1.55 %</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1.74 %</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56"/>
        </w:trPr>
        <w:tc>
          <w:tcPr>
            <w:tcW w:w="3900" w:type="dxa"/>
            <w:vAlign w:val="bottom"/>
          </w:tcPr>
          <w:p>
            <w:pPr>
              <w:ind w:left="80"/>
              <w:spacing w:after="0"/>
              <w:rPr>
                <w:sz w:val="20"/>
                <w:szCs w:val="20"/>
                <w:color w:val="auto"/>
              </w:rPr>
            </w:pPr>
            <w:r>
              <w:rPr>
                <w:rFonts w:ascii="Arial" w:cs="Arial" w:eastAsia="Arial" w:hAnsi="Arial"/>
                <w:sz w:val="11"/>
                <w:szCs w:val="11"/>
                <w:color w:val="auto"/>
              </w:rPr>
              <w:t>Noninterest-bearing deposits to total deposits</w:t>
            </w:r>
          </w:p>
        </w:tc>
        <w:tc>
          <w:tcPr>
            <w:tcW w:w="220" w:type="dxa"/>
            <w:vAlign w:val="bottom"/>
          </w:tcPr>
          <w:p>
            <w:pPr>
              <w:spacing w:after="0"/>
              <w:rPr>
                <w:sz w:val="13"/>
                <w:szCs w:val="13"/>
                <w:color w:val="auto"/>
              </w:rPr>
            </w:pPr>
          </w:p>
        </w:tc>
        <w:tc>
          <w:tcPr>
            <w:tcW w:w="1220" w:type="dxa"/>
            <w:vAlign w:val="bottom"/>
          </w:tcPr>
          <w:p>
            <w:pPr>
              <w:jc w:val="right"/>
              <w:ind w:right="7"/>
              <w:spacing w:after="0"/>
              <w:rPr>
                <w:sz w:val="20"/>
                <w:szCs w:val="20"/>
                <w:color w:val="auto"/>
              </w:rPr>
            </w:pPr>
            <w:r>
              <w:rPr>
                <w:rFonts w:ascii="Arial" w:cs="Arial" w:eastAsia="Arial" w:hAnsi="Arial"/>
                <w:sz w:val="11"/>
                <w:szCs w:val="11"/>
                <w:color w:val="auto"/>
              </w:rPr>
              <w:t>39.00 %</w:t>
            </w:r>
          </w:p>
        </w:tc>
        <w:tc>
          <w:tcPr>
            <w:tcW w:w="340" w:type="dxa"/>
            <w:vAlign w:val="bottom"/>
          </w:tcPr>
          <w:p>
            <w:pPr>
              <w:spacing w:after="0"/>
              <w:rPr>
                <w:sz w:val="13"/>
                <w:szCs w:val="13"/>
                <w:color w:val="auto"/>
              </w:rPr>
            </w:pPr>
          </w:p>
        </w:tc>
        <w:tc>
          <w:tcPr>
            <w:tcW w:w="1160" w:type="dxa"/>
            <w:vAlign w:val="bottom"/>
          </w:tcPr>
          <w:p>
            <w:pPr>
              <w:jc w:val="right"/>
              <w:ind w:right="7"/>
              <w:spacing w:after="0"/>
              <w:rPr>
                <w:sz w:val="20"/>
                <w:szCs w:val="20"/>
                <w:color w:val="auto"/>
              </w:rPr>
            </w:pPr>
            <w:r>
              <w:rPr>
                <w:rFonts w:ascii="Arial" w:cs="Arial" w:eastAsia="Arial" w:hAnsi="Arial"/>
                <w:sz w:val="11"/>
                <w:szCs w:val="11"/>
                <w:color w:val="auto"/>
              </w:rPr>
              <w:t>39.74 %</w:t>
            </w: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43.46 %</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8"/>
        </w:trPr>
        <w:tc>
          <w:tcPr>
            <w:tcW w:w="3900" w:type="dxa"/>
            <w:vAlign w:val="bottom"/>
            <w:shd w:val="clear" w:color="auto" w:fill="CCEEFF"/>
          </w:tcPr>
          <w:p>
            <w:pPr>
              <w:ind w:left="80"/>
              <w:spacing w:after="0"/>
              <w:rPr>
                <w:sz w:val="20"/>
                <w:szCs w:val="20"/>
                <w:color w:val="auto"/>
              </w:rPr>
            </w:pPr>
            <w:r>
              <w:rPr>
                <w:rFonts w:ascii="Arial" w:cs="Arial" w:eastAsia="Arial" w:hAnsi="Arial"/>
                <w:sz w:val="11"/>
                <w:szCs w:val="11"/>
                <w:color w:val="auto"/>
              </w:rPr>
              <w:t>Gross loan-to-deposit ratio</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91.46 %</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90.04 %</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87.32 %</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57"/>
        </w:trPr>
        <w:tc>
          <w:tcPr>
            <w:tcW w:w="3900" w:type="dxa"/>
            <w:vAlign w:val="bottom"/>
          </w:tcPr>
          <w:p>
            <w:pPr>
              <w:ind w:left="80"/>
              <w:spacing w:after="0"/>
              <w:rPr>
                <w:sz w:val="20"/>
                <w:szCs w:val="20"/>
                <w:color w:val="auto"/>
              </w:rPr>
            </w:pPr>
            <w:r>
              <w:rPr>
                <w:rFonts w:ascii="Arial" w:cs="Arial" w:eastAsia="Arial" w:hAnsi="Arial"/>
                <w:sz w:val="11"/>
                <w:szCs w:val="11"/>
                <w:color w:val="auto"/>
              </w:rPr>
              <w:t>Percent growth in loans</w:t>
            </w:r>
          </w:p>
        </w:tc>
        <w:tc>
          <w:tcPr>
            <w:tcW w:w="220" w:type="dxa"/>
            <w:vAlign w:val="bottom"/>
          </w:tcPr>
          <w:p>
            <w:pPr>
              <w:spacing w:after="0"/>
              <w:rPr>
                <w:sz w:val="13"/>
                <w:szCs w:val="13"/>
                <w:color w:val="auto"/>
              </w:rPr>
            </w:pPr>
          </w:p>
        </w:tc>
        <w:tc>
          <w:tcPr>
            <w:tcW w:w="1220" w:type="dxa"/>
            <w:vAlign w:val="bottom"/>
          </w:tcPr>
          <w:p>
            <w:pPr>
              <w:jc w:val="right"/>
              <w:ind w:right="7"/>
              <w:spacing w:after="0"/>
              <w:rPr>
                <w:sz w:val="20"/>
                <w:szCs w:val="20"/>
                <w:color w:val="auto"/>
              </w:rPr>
            </w:pPr>
            <w:r>
              <w:rPr>
                <w:rFonts w:ascii="Arial" w:cs="Arial" w:eastAsia="Arial" w:hAnsi="Arial"/>
                <w:sz w:val="11"/>
                <w:szCs w:val="11"/>
                <w:color w:val="auto"/>
              </w:rPr>
              <w:t>2.89 %</w:t>
            </w:r>
          </w:p>
        </w:tc>
        <w:tc>
          <w:tcPr>
            <w:tcW w:w="340" w:type="dxa"/>
            <w:vAlign w:val="bottom"/>
          </w:tcPr>
          <w:p>
            <w:pPr>
              <w:spacing w:after="0"/>
              <w:rPr>
                <w:sz w:val="13"/>
                <w:szCs w:val="13"/>
                <w:color w:val="auto"/>
              </w:rPr>
            </w:pPr>
          </w:p>
        </w:tc>
        <w:tc>
          <w:tcPr>
            <w:tcW w:w="1160" w:type="dxa"/>
            <w:vAlign w:val="bottom"/>
          </w:tcPr>
          <w:p>
            <w:pPr>
              <w:jc w:val="right"/>
              <w:ind w:right="7"/>
              <w:spacing w:after="0"/>
              <w:rPr>
                <w:sz w:val="20"/>
                <w:szCs w:val="20"/>
                <w:color w:val="auto"/>
              </w:rPr>
            </w:pPr>
            <w:r>
              <w:rPr>
                <w:rFonts w:ascii="Arial" w:cs="Arial" w:eastAsia="Arial" w:hAnsi="Arial"/>
                <w:sz w:val="11"/>
                <w:szCs w:val="11"/>
                <w:color w:val="auto"/>
              </w:rPr>
              <w:t>2.35 %</w:t>
            </w: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0.82 %</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7"/>
              <w:spacing w:after="0"/>
              <w:rPr>
                <w:sz w:val="20"/>
                <w:szCs w:val="20"/>
                <w:color w:val="auto"/>
              </w:rPr>
            </w:pPr>
            <w:r>
              <w:rPr>
                <w:rFonts w:ascii="Arial" w:cs="Arial" w:eastAsia="Arial" w:hAnsi="Arial"/>
                <w:sz w:val="11"/>
                <w:szCs w:val="11"/>
                <w:color w:val="auto"/>
              </w:rPr>
              <w:t>7.57 %</w:t>
            </w: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4.01 %</w:t>
            </w:r>
          </w:p>
        </w:tc>
      </w:tr>
      <w:tr>
        <w:trPr>
          <w:trHeight w:val="167"/>
        </w:trPr>
        <w:tc>
          <w:tcPr>
            <w:tcW w:w="3900" w:type="dxa"/>
            <w:vAlign w:val="bottom"/>
            <w:shd w:val="clear" w:color="auto" w:fill="CCEEFF"/>
          </w:tcPr>
          <w:p>
            <w:pPr>
              <w:ind w:left="80"/>
              <w:spacing w:after="0"/>
              <w:rPr>
                <w:sz w:val="20"/>
                <w:szCs w:val="20"/>
                <w:color w:val="auto"/>
              </w:rPr>
            </w:pPr>
            <w:r>
              <w:rPr>
                <w:rFonts w:ascii="Arial" w:cs="Arial" w:eastAsia="Arial" w:hAnsi="Arial"/>
                <w:sz w:val="11"/>
                <w:szCs w:val="11"/>
                <w:color w:val="auto"/>
              </w:rPr>
              <w:t>Percent growth in deposits</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1.29 %</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1.96 %</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7.79 %</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3.15 %</w:t>
            </w: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5.44 %</w:t>
            </w:r>
          </w:p>
        </w:tc>
      </w:tr>
      <w:tr>
        <w:trPr>
          <w:trHeight w:val="144"/>
        </w:trPr>
        <w:tc>
          <w:tcPr>
            <w:tcW w:w="3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60"/>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Capital Ratios</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48"/>
        </w:trPr>
        <w:tc>
          <w:tcPr>
            <w:tcW w:w="3900" w:type="dxa"/>
            <w:vAlign w:val="bottom"/>
          </w:tcPr>
          <w:p>
            <w:pPr>
              <w:ind w:left="80"/>
              <w:spacing w:after="0"/>
              <w:rPr>
                <w:sz w:val="20"/>
                <w:szCs w:val="20"/>
                <w:color w:val="auto"/>
              </w:rPr>
            </w:pPr>
            <w:r>
              <w:rPr>
                <w:rFonts w:ascii="Arial" w:cs="Arial" w:eastAsia="Arial" w:hAnsi="Arial"/>
                <w:sz w:val="11"/>
                <w:szCs w:val="11"/>
                <w:color w:val="auto"/>
              </w:rPr>
              <w:t>Tier 1 leverage ratio</w:t>
            </w:r>
          </w:p>
        </w:tc>
        <w:tc>
          <w:tcPr>
            <w:tcW w:w="220" w:type="dxa"/>
            <w:vAlign w:val="bottom"/>
          </w:tcPr>
          <w:p>
            <w:pPr>
              <w:spacing w:after="0"/>
              <w:rPr>
                <w:sz w:val="12"/>
                <w:szCs w:val="12"/>
                <w:color w:val="auto"/>
              </w:rPr>
            </w:pPr>
          </w:p>
        </w:tc>
        <w:tc>
          <w:tcPr>
            <w:tcW w:w="1220" w:type="dxa"/>
            <w:vAlign w:val="bottom"/>
          </w:tcPr>
          <w:p>
            <w:pPr>
              <w:jc w:val="right"/>
              <w:ind w:right="7"/>
              <w:spacing w:after="0"/>
              <w:rPr>
                <w:sz w:val="20"/>
                <w:szCs w:val="20"/>
                <w:color w:val="auto"/>
              </w:rPr>
            </w:pPr>
            <w:r>
              <w:rPr>
                <w:rFonts w:ascii="Arial" w:cs="Arial" w:eastAsia="Arial" w:hAnsi="Arial"/>
                <w:sz w:val="11"/>
                <w:szCs w:val="11"/>
                <w:color w:val="auto"/>
              </w:rPr>
              <w:t>12.07 %</w:t>
            </w:r>
          </w:p>
        </w:tc>
        <w:tc>
          <w:tcPr>
            <w:tcW w:w="340" w:type="dxa"/>
            <w:vAlign w:val="bottom"/>
          </w:tcPr>
          <w:p>
            <w:pPr>
              <w:spacing w:after="0"/>
              <w:rPr>
                <w:sz w:val="12"/>
                <w:szCs w:val="12"/>
                <w:color w:val="auto"/>
              </w:rPr>
            </w:pPr>
          </w:p>
        </w:tc>
        <w:tc>
          <w:tcPr>
            <w:tcW w:w="1160" w:type="dxa"/>
            <w:vAlign w:val="bottom"/>
          </w:tcPr>
          <w:p>
            <w:pPr>
              <w:jc w:val="right"/>
              <w:ind w:right="7"/>
              <w:spacing w:after="0"/>
              <w:rPr>
                <w:sz w:val="20"/>
                <w:szCs w:val="20"/>
                <w:color w:val="auto"/>
              </w:rPr>
            </w:pPr>
            <w:r>
              <w:rPr>
                <w:rFonts w:ascii="Arial" w:cs="Arial" w:eastAsia="Arial" w:hAnsi="Arial"/>
                <w:sz w:val="11"/>
                <w:szCs w:val="11"/>
                <w:color w:val="auto"/>
              </w:rPr>
              <w:t>12.11 %</w:t>
            </w:r>
          </w:p>
        </w:tc>
        <w:tc>
          <w:tcPr>
            <w:tcW w:w="2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11.37 %</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68"/>
        </w:trPr>
        <w:tc>
          <w:tcPr>
            <w:tcW w:w="390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Common equity tier 1 risk-based capital ratio</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13.33 %</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13.22 %</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12.93 %</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57"/>
        </w:trPr>
        <w:tc>
          <w:tcPr>
            <w:tcW w:w="3900" w:type="dxa"/>
            <w:vAlign w:val="bottom"/>
          </w:tcPr>
          <w:p>
            <w:pPr>
              <w:ind w:left="80"/>
              <w:spacing w:after="0"/>
              <w:rPr>
                <w:sz w:val="20"/>
                <w:szCs w:val="20"/>
                <w:color w:val="auto"/>
              </w:rPr>
            </w:pPr>
            <w:r>
              <w:rPr>
                <w:rFonts w:ascii="Arial" w:cs="Arial" w:eastAsia="Arial" w:hAnsi="Arial"/>
                <w:sz w:val="11"/>
                <w:szCs w:val="11"/>
                <w:color w:val="auto"/>
              </w:rPr>
              <w:t>Tier 1 risk-based capital ratio</w:t>
            </w:r>
          </w:p>
        </w:tc>
        <w:tc>
          <w:tcPr>
            <w:tcW w:w="220" w:type="dxa"/>
            <w:vAlign w:val="bottom"/>
          </w:tcPr>
          <w:p>
            <w:pPr>
              <w:spacing w:after="0"/>
              <w:rPr>
                <w:sz w:val="13"/>
                <w:szCs w:val="13"/>
                <w:color w:val="auto"/>
              </w:rPr>
            </w:pPr>
          </w:p>
        </w:tc>
        <w:tc>
          <w:tcPr>
            <w:tcW w:w="1220" w:type="dxa"/>
            <w:vAlign w:val="bottom"/>
          </w:tcPr>
          <w:p>
            <w:pPr>
              <w:jc w:val="right"/>
              <w:ind w:right="7"/>
              <w:spacing w:after="0"/>
              <w:rPr>
                <w:sz w:val="20"/>
                <w:szCs w:val="20"/>
                <w:color w:val="auto"/>
              </w:rPr>
            </w:pPr>
            <w:r>
              <w:rPr>
                <w:rFonts w:ascii="Arial" w:cs="Arial" w:eastAsia="Arial" w:hAnsi="Arial"/>
                <w:sz w:val="11"/>
                <w:szCs w:val="11"/>
                <w:color w:val="auto"/>
              </w:rPr>
              <w:t>13.33 %</w:t>
            </w:r>
          </w:p>
        </w:tc>
        <w:tc>
          <w:tcPr>
            <w:tcW w:w="340" w:type="dxa"/>
            <w:vAlign w:val="bottom"/>
          </w:tcPr>
          <w:p>
            <w:pPr>
              <w:spacing w:after="0"/>
              <w:rPr>
                <w:sz w:val="13"/>
                <w:szCs w:val="13"/>
                <w:color w:val="auto"/>
              </w:rPr>
            </w:pPr>
          </w:p>
        </w:tc>
        <w:tc>
          <w:tcPr>
            <w:tcW w:w="1160" w:type="dxa"/>
            <w:vAlign w:val="bottom"/>
          </w:tcPr>
          <w:p>
            <w:pPr>
              <w:jc w:val="right"/>
              <w:ind w:right="7"/>
              <w:spacing w:after="0"/>
              <w:rPr>
                <w:sz w:val="20"/>
                <w:szCs w:val="20"/>
                <w:color w:val="auto"/>
              </w:rPr>
            </w:pPr>
            <w:r>
              <w:rPr>
                <w:rFonts w:ascii="Arial" w:cs="Arial" w:eastAsia="Arial" w:hAnsi="Arial"/>
                <w:sz w:val="11"/>
                <w:szCs w:val="11"/>
                <w:color w:val="auto"/>
              </w:rPr>
              <w:t>13.22 %</w:t>
            </w: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12.93 %</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7"/>
        </w:trPr>
        <w:tc>
          <w:tcPr>
            <w:tcW w:w="3900" w:type="dxa"/>
            <w:vAlign w:val="bottom"/>
            <w:shd w:val="clear" w:color="auto" w:fill="CCEEFF"/>
          </w:tcPr>
          <w:p>
            <w:pPr>
              <w:ind w:left="80"/>
              <w:spacing w:after="0"/>
              <w:rPr>
                <w:sz w:val="20"/>
                <w:szCs w:val="20"/>
                <w:color w:val="auto"/>
              </w:rPr>
            </w:pPr>
            <w:r>
              <w:rPr>
                <w:rFonts w:ascii="Arial" w:cs="Arial" w:eastAsia="Arial" w:hAnsi="Arial"/>
                <w:sz w:val="11"/>
                <w:szCs w:val="11"/>
                <w:color w:val="auto"/>
              </w:rPr>
              <w:t>Total risk-based capital ratio</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14.59 %</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14.47 %</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14.65 %</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57"/>
        </w:trPr>
        <w:tc>
          <w:tcPr>
            <w:tcW w:w="3900" w:type="dxa"/>
            <w:vAlign w:val="bottom"/>
          </w:tcPr>
          <w:p>
            <w:pPr>
              <w:ind w:left="80"/>
              <w:spacing w:after="0"/>
              <w:rPr>
                <w:sz w:val="20"/>
                <w:szCs w:val="20"/>
                <w:color w:val="auto"/>
              </w:rPr>
            </w:pPr>
            <w:r>
              <w:rPr>
                <w:rFonts w:ascii="Arial" w:cs="Arial" w:eastAsia="Arial" w:hAnsi="Arial"/>
                <w:sz w:val="11"/>
                <w:szCs w:val="11"/>
                <w:color w:val="auto"/>
              </w:rPr>
              <w:t>Tangible common equity ratio (e)</w:t>
            </w:r>
          </w:p>
        </w:tc>
        <w:tc>
          <w:tcPr>
            <w:tcW w:w="220" w:type="dxa"/>
            <w:vAlign w:val="bottom"/>
          </w:tcPr>
          <w:p>
            <w:pPr>
              <w:spacing w:after="0"/>
              <w:rPr>
                <w:sz w:val="13"/>
                <w:szCs w:val="13"/>
                <w:color w:val="auto"/>
              </w:rPr>
            </w:pPr>
          </w:p>
        </w:tc>
        <w:tc>
          <w:tcPr>
            <w:tcW w:w="1220" w:type="dxa"/>
            <w:vAlign w:val="bottom"/>
          </w:tcPr>
          <w:p>
            <w:pPr>
              <w:jc w:val="right"/>
              <w:ind w:right="7"/>
              <w:spacing w:after="0"/>
              <w:rPr>
                <w:sz w:val="20"/>
                <w:szCs w:val="20"/>
                <w:color w:val="auto"/>
              </w:rPr>
            </w:pPr>
            <w:r>
              <w:rPr>
                <w:rFonts w:ascii="Arial" w:cs="Arial" w:eastAsia="Arial" w:hAnsi="Arial"/>
                <w:sz w:val="11"/>
                <w:szCs w:val="11"/>
                <w:color w:val="auto"/>
              </w:rPr>
              <w:t>11.69 %</w:t>
            </w:r>
          </w:p>
        </w:tc>
        <w:tc>
          <w:tcPr>
            <w:tcW w:w="340" w:type="dxa"/>
            <w:vAlign w:val="bottom"/>
          </w:tcPr>
          <w:p>
            <w:pPr>
              <w:spacing w:after="0"/>
              <w:rPr>
                <w:sz w:val="13"/>
                <w:szCs w:val="13"/>
                <w:color w:val="auto"/>
              </w:rPr>
            </w:pPr>
          </w:p>
        </w:tc>
        <w:tc>
          <w:tcPr>
            <w:tcW w:w="1160" w:type="dxa"/>
            <w:vAlign w:val="bottom"/>
          </w:tcPr>
          <w:p>
            <w:pPr>
              <w:jc w:val="right"/>
              <w:ind w:right="7"/>
              <w:spacing w:after="0"/>
              <w:rPr>
                <w:sz w:val="20"/>
                <w:szCs w:val="20"/>
                <w:color w:val="auto"/>
              </w:rPr>
            </w:pPr>
            <w:r>
              <w:rPr>
                <w:rFonts w:ascii="Arial" w:cs="Arial" w:eastAsia="Arial" w:hAnsi="Arial"/>
                <w:sz w:val="11"/>
                <w:szCs w:val="11"/>
                <w:color w:val="auto"/>
              </w:rPr>
              <w:t>11.67 %</w:t>
            </w: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10.95 %</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9"/>
        </w:trPr>
        <w:tc>
          <w:tcPr>
            <w:tcW w:w="3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60"/>
        </w:trPr>
        <w:tc>
          <w:tcPr>
            <w:tcW w:w="39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Share and Per Share Data</w:t>
            </w:r>
          </w:p>
        </w:tc>
        <w:tc>
          <w:tcPr>
            <w:tcW w:w="22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r>
      <w:tr>
        <w:trPr>
          <w:trHeight w:val="153"/>
        </w:trPr>
        <w:tc>
          <w:tcPr>
            <w:tcW w:w="3900" w:type="dxa"/>
            <w:vAlign w:val="bottom"/>
            <w:shd w:val="clear" w:color="auto" w:fill="CCEEFF"/>
          </w:tcPr>
          <w:p>
            <w:pPr>
              <w:ind w:left="80"/>
              <w:spacing w:after="0"/>
              <w:rPr>
                <w:sz w:val="20"/>
                <w:szCs w:val="20"/>
                <w:color w:val="auto"/>
              </w:rPr>
            </w:pPr>
            <w:r>
              <w:rPr>
                <w:rFonts w:ascii="Arial" w:cs="Arial" w:eastAsia="Arial" w:hAnsi="Arial"/>
                <w:sz w:val="11"/>
                <w:szCs w:val="11"/>
                <w:color w:val="auto"/>
              </w:rPr>
              <w:t>Basic earnings per share ("EPS")</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1.61</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1.17</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1.15</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4.23</w:t>
            </w:r>
          </w:p>
        </w:tc>
        <w:tc>
          <w:tcPr>
            <w:tcW w:w="2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3.49</w:t>
            </w:r>
          </w:p>
        </w:tc>
      </w:tr>
      <w:tr>
        <w:trPr>
          <w:trHeight w:val="156"/>
        </w:trPr>
        <w:tc>
          <w:tcPr>
            <w:tcW w:w="3900" w:type="dxa"/>
            <w:vAlign w:val="bottom"/>
          </w:tcPr>
          <w:p>
            <w:pPr>
              <w:ind w:left="80"/>
              <w:spacing w:after="0"/>
              <w:rPr>
                <w:sz w:val="20"/>
                <w:szCs w:val="20"/>
                <w:color w:val="auto"/>
              </w:rPr>
            </w:pPr>
            <w:r>
              <w:rPr>
                <w:rFonts w:ascii="Arial" w:cs="Arial" w:eastAsia="Arial" w:hAnsi="Arial"/>
                <w:sz w:val="11"/>
                <w:szCs w:val="11"/>
                <w:color w:val="auto"/>
              </w:rPr>
              <w:t>Diluted EPS</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87"/>
              <w:spacing w:after="0"/>
              <w:rPr>
                <w:sz w:val="20"/>
                <w:szCs w:val="20"/>
                <w:color w:val="auto"/>
              </w:rPr>
            </w:pPr>
            <w:r>
              <w:rPr>
                <w:rFonts w:ascii="Arial" w:cs="Arial" w:eastAsia="Arial" w:hAnsi="Arial"/>
                <w:sz w:val="11"/>
                <w:szCs w:val="11"/>
                <w:color w:val="auto"/>
              </w:rPr>
              <w:t>1.59</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87"/>
              <w:spacing w:after="0"/>
              <w:rPr>
                <w:sz w:val="20"/>
                <w:szCs w:val="20"/>
                <w:color w:val="auto"/>
              </w:rPr>
            </w:pPr>
            <w:r>
              <w:rPr>
                <w:rFonts w:ascii="Arial" w:cs="Arial" w:eastAsia="Arial" w:hAnsi="Arial"/>
                <w:sz w:val="11"/>
                <w:szCs w:val="11"/>
                <w:color w:val="auto"/>
              </w:rPr>
              <w:t>1.16</w:t>
            </w:r>
          </w:p>
        </w:tc>
        <w:tc>
          <w:tcPr>
            <w:tcW w:w="2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27"/>
              <w:spacing w:after="0"/>
              <w:rPr>
                <w:sz w:val="20"/>
                <w:szCs w:val="20"/>
                <w:color w:val="auto"/>
              </w:rPr>
            </w:pPr>
            <w:r>
              <w:rPr>
                <w:rFonts w:ascii="Arial" w:cs="Arial" w:eastAsia="Arial" w:hAnsi="Arial"/>
                <w:sz w:val="11"/>
                <w:szCs w:val="11"/>
                <w:color w:val="auto"/>
              </w:rPr>
              <w:t>1.14</w:t>
            </w:r>
          </w:p>
        </w:tc>
        <w:tc>
          <w:tcPr>
            <w:tcW w:w="120" w:type="dxa"/>
            <w:vAlign w:val="bottom"/>
          </w:tcPr>
          <w:p>
            <w:pPr>
              <w:spacing w:after="0"/>
              <w:rPr>
                <w:sz w:val="13"/>
                <w:szCs w:val="13"/>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87"/>
              <w:spacing w:after="0"/>
              <w:rPr>
                <w:sz w:val="20"/>
                <w:szCs w:val="20"/>
                <w:color w:val="auto"/>
              </w:rPr>
            </w:pPr>
            <w:r>
              <w:rPr>
                <w:rFonts w:ascii="Arial" w:cs="Arial" w:eastAsia="Arial" w:hAnsi="Arial"/>
                <w:sz w:val="11"/>
                <w:szCs w:val="11"/>
                <w:color w:val="auto"/>
              </w:rPr>
              <w:t>4.17</w:t>
            </w:r>
          </w:p>
        </w:tc>
        <w:tc>
          <w:tcPr>
            <w:tcW w:w="2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27"/>
              <w:spacing w:after="0"/>
              <w:rPr>
                <w:sz w:val="20"/>
                <w:szCs w:val="20"/>
                <w:color w:val="auto"/>
              </w:rPr>
            </w:pPr>
            <w:r>
              <w:rPr>
                <w:rFonts w:ascii="Arial" w:cs="Arial" w:eastAsia="Arial" w:hAnsi="Arial"/>
                <w:sz w:val="11"/>
                <w:szCs w:val="11"/>
                <w:color w:val="auto"/>
              </w:rPr>
              <w:t>3.45</w:t>
            </w:r>
          </w:p>
        </w:tc>
      </w:tr>
      <w:tr>
        <w:trPr>
          <w:trHeight w:val="168"/>
        </w:trPr>
        <w:tc>
          <w:tcPr>
            <w:tcW w:w="3900" w:type="dxa"/>
            <w:vAlign w:val="bottom"/>
            <w:shd w:val="clear" w:color="auto" w:fill="CCEEFF"/>
          </w:tcPr>
          <w:p>
            <w:pPr>
              <w:ind w:left="80"/>
              <w:spacing w:after="0"/>
              <w:rPr>
                <w:sz w:val="20"/>
                <w:szCs w:val="20"/>
                <w:color w:val="auto"/>
              </w:rPr>
            </w:pPr>
            <w:r>
              <w:rPr>
                <w:rFonts w:ascii="Arial" w:cs="Arial" w:eastAsia="Arial" w:hAnsi="Arial"/>
                <w:sz w:val="11"/>
                <w:szCs w:val="11"/>
                <w:color w:val="auto"/>
              </w:rPr>
              <w:t>Book value per share</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38.25</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37.90</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34.97</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57"/>
        </w:trPr>
        <w:tc>
          <w:tcPr>
            <w:tcW w:w="3900" w:type="dxa"/>
            <w:vAlign w:val="bottom"/>
          </w:tcPr>
          <w:p>
            <w:pPr>
              <w:ind w:left="80"/>
              <w:spacing w:after="0"/>
              <w:rPr>
                <w:sz w:val="20"/>
                <w:szCs w:val="20"/>
                <w:color w:val="auto"/>
              </w:rPr>
            </w:pPr>
            <w:r>
              <w:rPr>
                <w:rFonts w:ascii="Arial" w:cs="Arial" w:eastAsia="Arial" w:hAnsi="Arial"/>
                <w:sz w:val="11"/>
                <w:szCs w:val="11"/>
                <w:color w:val="auto"/>
              </w:rPr>
              <w:t>Tangible book value per share (f)</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87"/>
              <w:spacing w:after="0"/>
              <w:rPr>
                <w:sz w:val="20"/>
                <w:szCs w:val="20"/>
                <w:color w:val="auto"/>
              </w:rPr>
            </w:pPr>
            <w:r>
              <w:rPr>
                <w:rFonts w:ascii="Arial" w:cs="Arial" w:eastAsia="Arial" w:hAnsi="Arial"/>
                <w:sz w:val="11"/>
                <w:szCs w:val="11"/>
                <w:color w:val="auto"/>
              </w:rPr>
              <w:t>32.46</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87"/>
              <w:spacing w:after="0"/>
              <w:rPr>
                <w:sz w:val="20"/>
                <w:szCs w:val="20"/>
                <w:color w:val="auto"/>
              </w:rPr>
            </w:pPr>
            <w:r>
              <w:rPr>
                <w:rFonts w:ascii="Arial" w:cs="Arial" w:eastAsia="Arial" w:hAnsi="Arial"/>
                <w:sz w:val="11"/>
                <w:szCs w:val="11"/>
                <w:color w:val="auto"/>
              </w:rPr>
              <w:t>32.01</w:t>
            </w:r>
          </w:p>
        </w:tc>
        <w:tc>
          <w:tcPr>
            <w:tcW w:w="2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27"/>
              <w:spacing w:after="0"/>
              <w:rPr>
                <w:sz w:val="20"/>
                <w:szCs w:val="20"/>
                <w:color w:val="auto"/>
              </w:rPr>
            </w:pPr>
            <w:r>
              <w:rPr>
                <w:rFonts w:ascii="Arial" w:cs="Arial" w:eastAsia="Arial" w:hAnsi="Arial"/>
                <w:sz w:val="11"/>
                <w:szCs w:val="11"/>
                <w:color w:val="auto"/>
              </w:rPr>
              <w:t>28.81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9"/>
        </w:trPr>
        <w:tc>
          <w:tcPr>
            <w:tcW w:w="3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bl>
    <w:p>
      <w:pPr>
        <w:spacing w:after="0" w:line="13" w:lineRule="exact"/>
        <w:rPr>
          <w:sz w:val="20"/>
          <w:szCs w:val="20"/>
          <w:color w:val="auto"/>
        </w:rPr>
      </w:pPr>
    </w:p>
    <w:p>
      <w:pPr>
        <w:ind w:right="260" w:firstLine="4"/>
        <w:spacing w:after="0" w:line="264" w:lineRule="auto"/>
        <w:tabs>
          <w:tab w:leader="none" w:pos="144" w:val="left"/>
        </w:tabs>
        <w:numPr>
          <w:ilvl w:val="0"/>
          <w:numId w:val="2"/>
        </w:numPr>
        <w:rPr>
          <w:rFonts w:ascii="Arial" w:cs="Arial" w:eastAsia="Arial" w:hAnsi="Arial"/>
          <w:sz w:val="10"/>
          <w:szCs w:val="10"/>
          <w:color w:val="auto"/>
        </w:rPr>
      </w:pPr>
      <w:r>
        <w:rPr>
          <w:rFonts w:ascii="Arial" w:cs="Arial" w:eastAsia="Arial" w:hAnsi="Arial"/>
          <w:sz w:val="10"/>
          <w:szCs w:val="10"/>
          <w:color w:val="auto"/>
        </w:rPr>
        <w:t>Net interest margin is calculated by dividing annualized taxable equivalent net interest income, a non-GAAP measure, by period average interest-earning assets. Interest income on tax-exempt securities and loans are presented on a taxable-equivalent basis using the federal statutory rate of 21 percent. Please see "Non-GAAP Financial Measures" below.</w:t>
      </w:r>
    </w:p>
    <w:p>
      <w:pPr>
        <w:spacing w:after="0" w:line="17" w:lineRule="exact"/>
        <w:rPr>
          <w:rFonts w:ascii="Arial" w:cs="Arial" w:eastAsia="Arial" w:hAnsi="Arial"/>
          <w:sz w:val="10"/>
          <w:szCs w:val="10"/>
          <w:color w:val="auto"/>
        </w:rPr>
      </w:pPr>
    </w:p>
    <w:p>
      <w:pPr>
        <w:ind w:left="140" w:hanging="136"/>
        <w:spacing w:after="0"/>
        <w:tabs>
          <w:tab w:leader="none" w:pos="140" w:val="left"/>
        </w:tabs>
        <w:numPr>
          <w:ilvl w:val="0"/>
          <w:numId w:val="2"/>
        </w:numPr>
        <w:rPr>
          <w:rFonts w:ascii="Arial" w:cs="Arial" w:eastAsia="Arial" w:hAnsi="Arial"/>
          <w:sz w:val="10"/>
          <w:szCs w:val="10"/>
          <w:color w:val="auto"/>
        </w:rPr>
      </w:pPr>
      <w:r>
        <w:rPr>
          <w:rFonts w:ascii="Arial" w:cs="Arial" w:eastAsia="Arial" w:hAnsi="Arial"/>
          <w:sz w:val="10"/>
          <w:szCs w:val="10"/>
          <w:color w:val="auto"/>
        </w:rPr>
        <w:t>Cost of funds is computed by dividing annualized interest expense by the sum of period average deposits and borrowings.</w:t>
      </w:r>
    </w:p>
    <w:p>
      <w:pPr>
        <w:spacing w:after="0" w:line="38" w:lineRule="exact"/>
        <w:rPr>
          <w:rFonts w:ascii="Arial" w:cs="Arial" w:eastAsia="Arial" w:hAnsi="Arial"/>
          <w:sz w:val="10"/>
          <w:szCs w:val="10"/>
          <w:color w:val="auto"/>
        </w:rPr>
      </w:pPr>
    </w:p>
    <w:p>
      <w:pPr>
        <w:ind w:left="140" w:hanging="136"/>
        <w:spacing w:after="0"/>
        <w:tabs>
          <w:tab w:leader="none" w:pos="140" w:val="left"/>
        </w:tabs>
        <w:numPr>
          <w:ilvl w:val="0"/>
          <w:numId w:val="2"/>
        </w:numPr>
        <w:rPr>
          <w:rFonts w:ascii="Arial" w:cs="Arial" w:eastAsia="Arial" w:hAnsi="Arial"/>
          <w:sz w:val="10"/>
          <w:szCs w:val="10"/>
          <w:color w:val="auto"/>
        </w:rPr>
      </w:pPr>
      <w:r>
        <w:rPr>
          <w:rFonts w:ascii="Arial" w:cs="Arial" w:eastAsia="Arial" w:hAnsi="Arial"/>
          <w:sz w:val="10"/>
          <w:szCs w:val="10"/>
          <w:color w:val="auto"/>
        </w:rPr>
        <w:t>Efficiency ratio, a non-GAAP measure, equals total noninterest expenses divided by the sum of net interest income and noninterest income. Please see "Non-GAAP Financial Measures" below.</w:t>
      </w:r>
    </w:p>
    <w:p>
      <w:pPr>
        <w:spacing w:after="0" w:line="38" w:lineRule="exact"/>
        <w:rPr>
          <w:rFonts w:ascii="Arial" w:cs="Arial" w:eastAsia="Arial" w:hAnsi="Arial"/>
          <w:sz w:val="10"/>
          <w:szCs w:val="10"/>
          <w:color w:val="auto"/>
        </w:rPr>
      </w:pPr>
    </w:p>
    <w:p>
      <w:pPr>
        <w:ind w:right="60" w:firstLine="4"/>
        <w:spacing w:after="0" w:line="264" w:lineRule="auto"/>
        <w:tabs>
          <w:tab w:leader="none" w:pos="144" w:val="left"/>
        </w:tabs>
        <w:numPr>
          <w:ilvl w:val="0"/>
          <w:numId w:val="2"/>
        </w:numPr>
        <w:rPr>
          <w:rFonts w:ascii="Arial" w:cs="Arial" w:eastAsia="Arial" w:hAnsi="Arial"/>
          <w:sz w:val="10"/>
          <w:szCs w:val="10"/>
          <w:color w:val="auto"/>
        </w:rPr>
      </w:pPr>
      <w:r>
        <w:rPr>
          <w:rFonts w:ascii="Arial" w:cs="Arial" w:eastAsia="Arial" w:hAnsi="Arial"/>
          <w:sz w:val="10"/>
          <w:szCs w:val="10"/>
          <w:color w:val="auto"/>
        </w:rPr>
        <w:t>Return on average tangible equity, a non-GAAP measure, is calculated by dividing annualized net income (adjusted for the after-tax amortization of intangible assets) by average tangible equity for the period. Tangible common equity is defined in note (f) below. In this release we also may refer to tangible common equity as tangible equity. Please see "Non-GAAP Financial Measures" below.</w:t>
      </w:r>
    </w:p>
    <w:p>
      <w:pPr>
        <w:spacing w:after="0" w:line="17" w:lineRule="exact"/>
        <w:rPr>
          <w:rFonts w:ascii="Arial" w:cs="Arial" w:eastAsia="Arial" w:hAnsi="Arial"/>
          <w:sz w:val="10"/>
          <w:szCs w:val="10"/>
          <w:color w:val="auto"/>
        </w:rPr>
      </w:pPr>
    </w:p>
    <w:p>
      <w:pPr>
        <w:ind w:left="140" w:hanging="136"/>
        <w:spacing w:after="0"/>
        <w:tabs>
          <w:tab w:leader="none" w:pos="140" w:val="left"/>
        </w:tabs>
        <w:numPr>
          <w:ilvl w:val="0"/>
          <w:numId w:val="2"/>
        </w:numPr>
        <w:rPr>
          <w:rFonts w:ascii="Arial" w:cs="Arial" w:eastAsia="Arial" w:hAnsi="Arial"/>
          <w:sz w:val="10"/>
          <w:szCs w:val="10"/>
          <w:color w:val="auto"/>
        </w:rPr>
      </w:pPr>
      <w:r>
        <w:rPr>
          <w:rFonts w:ascii="Arial" w:cs="Arial" w:eastAsia="Arial" w:hAnsi="Arial"/>
          <w:sz w:val="10"/>
          <w:szCs w:val="10"/>
          <w:color w:val="auto"/>
        </w:rPr>
        <w:t>Tangible common equity ratio, a non-GAAP measure, is calculated by dividing tangible common equity, as defined in note (f) below, by assets less goodwill and other intangible assets. Please see "Non-GAAP Financial Measures" below.</w:t>
      </w:r>
    </w:p>
    <w:p>
      <w:pPr>
        <w:spacing w:after="0" w:line="38" w:lineRule="exact"/>
        <w:rPr>
          <w:rFonts w:ascii="Arial" w:cs="Arial" w:eastAsia="Arial" w:hAnsi="Arial"/>
          <w:sz w:val="10"/>
          <w:szCs w:val="10"/>
          <w:color w:val="auto"/>
        </w:rPr>
      </w:pPr>
    </w:p>
    <w:p>
      <w:pPr>
        <w:ind w:right="140" w:firstLine="4"/>
        <w:spacing w:after="0" w:line="264" w:lineRule="auto"/>
        <w:tabs>
          <w:tab w:leader="none" w:pos="117" w:val="left"/>
        </w:tabs>
        <w:numPr>
          <w:ilvl w:val="0"/>
          <w:numId w:val="2"/>
        </w:numPr>
        <w:rPr>
          <w:rFonts w:ascii="Arial" w:cs="Arial" w:eastAsia="Arial" w:hAnsi="Arial"/>
          <w:sz w:val="10"/>
          <w:szCs w:val="10"/>
          <w:color w:val="auto"/>
        </w:rPr>
      </w:pPr>
      <w:r>
        <w:rPr>
          <w:rFonts w:ascii="Arial" w:cs="Arial" w:eastAsia="Arial" w:hAnsi="Arial"/>
          <w:sz w:val="10"/>
          <w:szCs w:val="10"/>
          <w:color w:val="auto"/>
        </w:rPr>
        <w:t>Tangible common equity, a non-GAAP measure, equals total shareholders' equity less goodwill and other intangible assets. Tangible book value per share, a non-GAAP measure, divides tangible common equity by the number of shares outstanding at the period end. Please see "Non-GAAP Financial Measures"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-631190</wp:posOffset>
            </wp:positionV>
            <wp:extent cx="7178040" cy="97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-436880</wp:posOffset>
            </wp:positionV>
            <wp:extent cx="717804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714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-168275</wp:posOffset>
            </wp:positionV>
            <wp:extent cx="717804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00"/>
          </w:cols>
          <w:pgMar w:left="300" w:top="670" w:right="299" w:bottom="1440" w:gutter="0" w:footer="0" w:header="0"/>
        </w:sectPr>
      </w:pPr>
    </w:p>
    <w:bookmarkStart w:id="5" w:name="page6"/>
    <w:bookmarkEnd w:id="5"/>
    <w:p>
      <w:pPr>
        <w:ind w:left="208" w:hanging="208"/>
        <w:spacing w:after="0" w:line="272" w:lineRule="auto"/>
        <w:tabs>
          <w:tab w:leader="none" w:pos="208" w:val="left"/>
        </w:tabs>
        <w:numPr>
          <w:ilvl w:val="0"/>
          <w:numId w:val="3"/>
        </w:numPr>
        <w:rPr>
          <w:rFonts w:ascii="Arial" w:cs="Arial" w:eastAsia="Arial" w:hAnsi="Arial"/>
          <w:sz w:val="13"/>
          <w:szCs w:val="13"/>
          <w:color w:val="auto"/>
        </w:rPr>
      </w:pPr>
      <w:r>
        <w:rPr>
          <w:rFonts w:ascii="Arial" w:cs="Arial" w:eastAsia="Arial" w:hAnsi="Arial"/>
          <w:sz w:val="13"/>
          <w:szCs w:val="13"/>
          <w:color w:val="auto"/>
        </w:rPr>
        <w:t>Total loans, net of unaccreted purchase discount and deferred fees and costs, were $2.34 billion at September 30, 2026, compared to $2.27 billion at June 30, 2026, representing an increase of $65.6 million, or 2.9%. Loan growth was most notable in revolving commercial lines, especially in agriculture-related businesses sourced from our San Luis Obispo County team.</w:t>
      </w:r>
    </w:p>
    <w:p>
      <w:pPr>
        <w:spacing w:after="0" w:line="129" w:lineRule="exact"/>
        <w:rPr>
          <w:rFonts w:ascii="Arial" w:cs="Arial" w:eastAsia="Arial" w:hAnsi="Arial"/>
          <w:sz w:val="13"/>
          <w:szCs w:val="13"/>
          <w:color w:val="auto"/>
        </w:rPr>
      </w:pPr>
    </w:p>
    <w:p>
      <w:pPr>
        <w:jc w:val="both"/>
        <w:ind w:left="208" w:right="20" w:hanging="208"/>
        <w:spacing w:after="0" w:line="251" w:lineRule="auto"/>
        <w:tabs>
          <w:tab w:leader="none" w:pos="208" w:val="left"/>
        </w:tabs>
        <w:numPr>
          <w:ilvl w:val="0"/>
          <w:numId w:val="3"/>
        </w:numPr>
        <w:rPr>
          <w:rFonts w:ascii="Arial" w:cs="Arial" w:eastAsia="Arial" w:hAnsi="Arial"/>
          <w:sz w:val="13"/>
          <w:szCs w:val="13"/>
          <w:color w:val="auto"/>
        </w:rPr>
      </w:pPr>
      <w:r>
        <w:rPr>
          <w:rFonts w:ascii="Arial" w:cs="Arial" w:eastAsia="Arial" w:hAnsi="Arial"/>
          <w:sz w:val="13"/>
          <w:szCs w:val="13"/>
          <w:color w:val="auto"/>
        </w:rPr>
        <w:t>Taxable equivalent net interest margin, a non-GAAP measure, was 5.20% and 4.92% for the quarters ended September 30, 2026, and June 30, 2026, respectively. The quarter-over-quarter increase is largely attributed to the absence of the sub debt redemption that occurred in the second quarter of 2026. Excluding the impact of sub debt redemption, the adjusted taxable equivalent net interest margin, a non-GAAP measure, was 5.19% for the second quarter of 2026. Please see “Non-GAAP Financial Measures" below.</w:t>
      </w:r>
    </w:p>
    <w:p>
      <w:pPr>
        <w:spacing w:after="0" w:line="142" w:lineRule="exact"/>
        <w:rPr>
          <w:rFonts w:ascii="Arial" w:cs="Arial" w:eastAsia="Arial" w:hAnsi="Arial"/>
          <w:sz w:val="13"/>
          <w:szCs w:val="13"/>
          <w:color w:val="auto"/>
        </w:rPr>
      </w:pPr>
    </w:p>
    <w:p>
      <w:pPr>
        <w:jc w:val="both"/>
        <w:ind w:left="208" w:hanging="208"/>
        <w:spacing w:after="0" w:line="258" w:lineRule="auto"/>
        <w:tabs>
          <w:tab w:leader="none" w:pos="217"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cost of funds was 1.31% and 1.59% for the quarters ended September 30, 2026, and June 30, 2026, respectively. The quarter-over-quarter decrease in the cost of funds is attributed to the absence of the sub debt redemption that occurred in the second quarter. Excluding the impact of the sub debt redemption, the adjusted cost of funds, a non-GAAP measure, was approximately 1.29% for the second quarter of 2026. Please see “Non-GAAP Financial Measures" below.</w:t>
      </w:r>
    </w:p>
    <w:p>
      <w:pPr>
        <w:spacing w:after="0" w:line="129" w:lineRule="exact"/>
        <w:rPr>
          <w:rFonts w:ascii="Arial" w:cs="Arial" w:eastAsia="Arial" w:hAnsi="Arial"/>
          <w:sz w:val="13"/>
          <w:szCs w:val="13"/>
          <w:color w:val="auto"/>
        </w:rPr>
      </w:pPr>
    </w:p>
    <w:p>
      <w:pPr>
        <w:jc w:val="both"/>
        <w:ind w:left="208" w:hanging="208"/>
        <w:spacing w:after="0" w:line="254" w:lineRule="auto"/>
        <w:tabs>
          <w:tab w:leader="none" w:pos="217"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efficiency ratio, a non-GAAP measure, was 42.31% and 46.24% for the quarters ended September 30, 2026, and June 30, 2026, respectively. The decrease in the efficiency ratio for the third quarter of 2026 is largely attributed to the absence of $1.8 million in accelerated accretion associated with the sub debt redemption in the second quarter, as well as higher net interest income in the third quarter driven by growth in average interest-earning assets. Excluding the impact of the sub debt redemption, the adjusted efficiency ratio, a non-GAAP measure, was 42.31% and 43.91% for the quarters ended September 30, 2026, and June 30, 2026, respectively. Please see "Non-GAAP Financial Measures" below.</w:t>
      </w:r>
    </w:p>
    <w:p>
      <w:pPr>
        <w:spacing w:after="0" w:line="141" w:lineRule="exact"/>
        <w:rPr>
          <w:rFonts w:ascii="Arial" w:cs="Arial" w:eastAsia="Arial" w:hAnsi="Arial"/>
          <w:sz w:val="13"/>
          <w:szCs w:val="13"/>
          <w:color w:val="auto"/>
        </w:rPr>
      </w:pPr>
    </w:p>
    <w:p>
      <w:pPr>
        <w:jc w:val="both"/>
        <w:ind w:left="208" w:hanging="208"/>
        <w:spacing w:after="0" w:line="251" w:lineRule="auto"/>
        <w:tabs>
          <w:tab w:leader="none" w:pos="217" w:val="left"/>
        </w:tabs>
        <w:numPr>
          <w:ilvl w:val="0"/>
          <w:numId w:val="3"/>
        </w:numPr>
        <w:rPr>
          <w:rFonts w:ascii="Arial" w:cs="Arial" w:eastAsia="Arial" w:hAnsi="Arial"/>
          <w:sz w:val="13"/>
          <w:szCs w:val="13"/>
          <w:color w:val="auto"/>
        </w:rPr>
      </w:pPr>
      <w:r>
        <w:rPr>
          <w:rFonts w:ascii="Arial" w:cs="Arial" w:eastAsia="Arial" w:hAnsi="Arial"/>
          <w:sz w:val="13"/>
          <w:szCs w:val="13"/>
          <w:color w:val="auto"/>
        </w:rPr>
        <w:t>Return on average assets (“ROAA”) was 2.21% and 1.69% for the quarters ended September 30, 2026, and June 30, 2026, respectively. Excluding the benefit on the purchase of transferable renewable energy tax credits in the third quarter and the impact of accelerated accretion on the sub debt redemption that occurred in the second quarter, adjusted ROAA, a non-GAAP measure, was 2.08% and 1.87% for the quarters ended September 30, 2026, and June 30, 2026, respectively. Please see "Non-GAAP Financial Measures" below.</w:t>
      </w:r>
    </w:p>
    <w:p>
      <w:pPr>
        <w:spacing w:after="0" w:line="142" w:lineRule="exact"/>
        <w:rPr>
          <w:rFonts w:ascii="Arial" w:cs="Arial" w:eastAsia="Arial" w:hAnsi="Arial"/>
          <w:sz w:val="13"/>
          <w:szCs w:val="13"/>
          <w:color w:val="auto"/>
        </w:rPr>
      </w:pPr>
    </w:p>
    <w:p>
      <w:pPr>
        <w:jc w:val="both"/>
        <w:ind w:left="208" w:hanging="208"/>
        <w:spacing w:after="0" w:line="290" w:lineRule="auto"/>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color w:val="auto"/>
        </w:rPr>
        <w:t>Return on average equity ("ROAE") was 16.44% and 12.32% for the quarters ended September 30, 2026, and June 30, 2026, respectively. ROAE was favorably impacted in the third quarter by the absence of accelerated accretion on the sub debt redemption that occurred in the second quarter and the benefit on the purchase of transferable renewable energy tax credits. Excluding these items, adjusted ROAE, a non-GAAP measure, was 15.53% and 13.62% for the quarters ended September 30, 2026, and June 30, 2026, respectively. Please see "Non-GAAP Financial Measures" below.</w:t>
      </w:r>
    </w:p>
    <w:p>
      <w:pPr>
        <w:spacing w:after="0" w:line="111" w:lineRule="exact"/>
        <w:rPr>
          <w:rFonts w:ascii="Arial" w:cs="Arial" w:eastAsia="Arial" w:hAnsi="Arial"/>
          <w:sz w:val="12"/>
          <w:szCs w:val="12"/>
          <w:color w:val="auto"/>
        </w:rPr>
      </w:pPr>
    </w:p>
    <w:p>
      <w:pPr>
        <w:jc w:val="both"/>
        <w:ind w:left="208" w:hanging="208"/>
        <w:spacing w:after="0" w:line="258" w:lineRule="auto"/>
        <w:tabs>
          <w:tab w:leader="none" w:pos="208" w:val="left"/>
        </w:tabs>
        <w:numPr>
          <w:ilvl w:val="0"/>
          <w:numId w:val="3"/>
        </w:numPr>
        <w:rPr>
          <w:rFonts w:ascii="Arial" w:cs="Arial" w:eastAsia="Arial" w:hAnsi="Arial"/>
          <w:sz w:val="13"/>
          <w:szCs w:val="13"/>
          <w:color w:val="auto"/>
        </w:rPr>
      </w:pPr>
      <w:r>
        <w:rPr>
          <w:rFonts w:ascii="Arial" w:cs="Arial" w:eastAsia="Arial" w:hAnsi="Arial"/>
          <w:sz w:val="13"/>
          <w:szCs w:val="13"/>
          <w:color w:val="auto"/>
        </w:rPr>
        <w:t>Return on average tangible equity (“ROATE”), a non-GAAP measure, was 20.20% and 15.47% for the quarters ended September 30, 2026, and June 30, 2026, respectively. Excluding the benefit on the purchase of transferable renewable energy tax credits in the third quarter and accelerated accretion on the sub debt redemption that occurred in the second quarter, adjusted ROATE, a non-GAAP measure, was 19.13% and 17.01% for the quarters ended September 30, 2026, and June 30, 2026, respectively. Please see "Non-GAAP Financial Measures" below.</w:t>
      </w:r>
    </w:p>
    <w:p>
      <w:pPr>
        <w:spacing w:after="0" w:line="139" w:lineRule="exact"/>
        <w:rPr>
          <w:sz w:val="20"/>
          <w:szCs w:val="20"/>
          <w:color w:val="auto"/>
        </w:rPr>
      </w:pPr>
    </w:p>
    <w:p>
      <w:pPr>
        <w:jc w:val="both"/>
        <w:ind w:left="208" w:hanging="208"/>
        <w:spacing w:after="0" w:line="251" w:lineRule="auto"/>
        <w:tabs>
          <w:tab w:leader="none" w:pos="207" w:val="left"/>
        </w:tabs>
        <w:numPr>
          <w:ilvl w:val="0"/>
          <w:numId w:val="4"/>
        </w:numPr>
        <w:rPr>
          <w:rFonts w:ascii="Arial" w:cs="Arial" w:eastAsia="Arial" w:hAnsi="Arial"/>
          <w:sz w:val="13"/>
          <w:szCs w:val="13"/>
          <w:color w:val="auto"/>
        </w:rPr>
      </w:pPr>
      <w:r>
        <w:rPr>
          <w:rFonts w:ascii="Arial" w:cs="Arial" w:eastAsia="Arial" w:hAnsi="Arial"/>
          <w:sz w:val="13"/>
          <w:szCs w:val="13"/>
          <w:color w:val="auto"/>
        </w:rPr>
        <w:t>Total provision for credit losses on loans and unfunded loan commitments was $7 thousand for the third quarter of 2026, compared to a provision for credit losses of $1.5 million for the second quarter. The quarter-over-quarter decrease is largely attributed to the full recovery of a previously substantially charged-off loan in the amount of $1.2 million, favorable changes in economic forecasts and qualitative factors used in the allowance for credit losses (“ACL”) model. These were partially offset by the impact</w:t>
      </w:r>
    </w:p>
    <w:p>
      <w:pPr>
        <w:spacing w:after="0" w:line="206"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308"/>
          </w:cols>
          <w:pgMar w:left="292" w:top="832" w:right="299" w:bottom="1440" w:gutter="0" w:footer="0" w:header="0"/>
        </w:sectPr>
      </w:pPr>
    </w:p>
    <w:bookmarkStart w:id="6" w:name="page7"/>
    <w:bookmarkEnd w:id="6"/>
    <w:p>
      <w:pPr>
        <w:ind w:left="208"/>
        <w:spacing w:after="0"/>
        <w:rPr>
          <w:sz w:val="20"/>
          <w:szCs w:val="20"/>
          <w:color w:val="auto"/>
        </w:rPr>
      </w:pPr>
      <w:r>
        <w:rPr>
          <w:rFonts w:ascii="Arial" w:cs="Arial" w:eastAsia="Arial" w:hAnsi="Arial"/>
          <w:sz w:val="13"/>
          <w:szCs w:val="13"/>
          <w:color w:val="auto"/>
        </w:rPr>
        <w:t>of loan growth and the change in the mix of loans during the quarter as well as an increase in the allowance for certain individually evaluated loans.</w:t>
      </w:r>
    </w:p>
    <w:p>
      <w:pPr>
        <w:spacing w:after="0" w:line="166" w:lineRule="exact"/>
        <w:rPr>
          <w:sz w:val="20"/>
          <w:szCs w:val="20"/>
          <w:color w:val="auto"/>
        </w:rPr>
      </w:pPr>
    </w:p>
    <w:p>
      <w:pPr>
        <w:ind w:left="208" w:hanging="208"/>
        <w:spacing w:after="0" w:line="272" w:lineRule="auto"/>
        <w:tabs>
          <w:tab w:leader="none" w:pos="208" w:val="left"/>
        </w:tabs>
        <w:numPr>
          <w:ilvl w:val="0"/>
          <w:numId w:val="5"/>
        </w:numPr>
        <w:rPr>
          <w:rFonts w:ascii="Arial" w:cs="Arial" w:eastAsia="Arial" w:hAnsi="Arial"/>
          <w:sz w:val="13"/>
          <w:szCs w:val="13"/>
          <w:color w:val="auto"/>
        </w:rPr>
      </w:pPr>
      <w:r>
        <w:rPr>
          <w:rFonts w:ascii="Arial" w:cs="Arial" w:eastAsia="Arial" w:hAnsi="Arial"/>
          <w:sz w:val="13"/>
          <w:szCs w:val="13"/>
          <w:color w:val="auto"/>
        </w:rPr>
        <w:t>Total assets were $2.98 billion at September 30, 2026, compared to $2.95 billion at June 30, 2026, representing an increase of $38.4 million, or 1.3%, from June 30, 2026. The quarter-over-quarter increase in total assets is largely attributed to a $65.6 million increase in total loans.</w:t>
      </w:r>
    </w:p>
    <w:p>
      <w:pPr>
        <w:spacing w:after="0" w:line="120" w:lineRule="exact"/>
        <w:rPr>
          <w:rFonts w:ascii="Arial" w:cs="Arial" w:eastAsia="Arial" w:hAnsi="Arial"/>
          <w:sz w:val="13"/>
          <w:szCs w:val="13"/>
          <w:color w:val="auto"/>
        </w:rPr>
      </w:pPr>
    </w:p>
    <w:p>
      <w:pPr>
        <w:ind w:left="208" w:right="20" w:hanging="208"/>
        <w:spacing w:after="0" w:line="272" w:lineRule="auto"/>
        <w:tabs>
          <w:tab w:leader="none" w:pos="208" w:val="left"/>
        </w:tabs>
        <w:numPr>
          <w:ilvl w:val="0"/>
          <w:numId w:val="5"/>
        </w:numPr>
        <w:rPr>
          <w:rFonts w:ascii="Arial" w:cs="Arial" w:eastAsia="Arial" w:hAnsi="Arial"/>
          <w:sz w:val="13"/>
          <w:szCs w:val="13"/>
          <w:color w:val="auto"/>
        </w:rPr>
      </w:pPr>
      <w:r>
        <w:rPr>
          <w:rFonts w:ascii="Arial" w:cs="Arial" w:eastAsia="Arial" w:hAnsi="Arial"/>
          <w:sz w:val="13"/>
          <w:szCs w:val="13"/>
          <w:color w:val="auto"/>
        </w:rPr>
        <w:t>Total deposits were $2.56 billion at September 30, 2026, compared to $2.52 billion at June 30, 2026, representing an increase of $32.5 million, or 1.3%, from June 30, 2026. The increase in deposits during the third quarter was largely driven by the establishment of new client relationships.</w:t>
      </w:r>
    </w:p>
    <w:p>
      <w:pPr>
        <w:spacing w:after="0" w:line="129" w:lineRule="exact"/>
        <w:rPr>
          <w:rFonts w:ascii="Arial" w:cs="Arial" w:eastAsia="Arial" w:hAnsi="Arial"/>
          <w:sz w:val="13"/>
          <w:szCs w:val="13"/>
          <w:color w:val="auto"/>
        </w:rPr>
      </w:pPr>
    </w:p>
    <w:p>
      <w:pPr>
        <w:jc w:val="both"/>
        <w:ind w:left="208" w:hanging="208"/>
        <w:spacing w:after="0" w:line="258" w:lineRule="auto"/>
        <w:tabs>
          <w:tab w:leader="none" w:pos="208" w:val="left"/>
        </w:tabs>
        <w:numPr>
          <w:ilvl w:val="0"/>
          <w:numId w:val="5"/>
        </w:numPr>
        <w:rPr>
          <w:rFonts w:ascii="Arial" w:cs="Arial" w:eastAsia="Arial" w:hAnsi="Arial"/>
          <w:sz w:val="13"/>
          <w:szCs w:val="13"/>
          <w:color w:val="auto"/>
        </w:rPr>
      </w:pPr>
      <w:r>
        <w:rPr>
          <w:rFonts w:ascii="Arial" w:cs="Arial" w:eastAsia="Arial" w:hAnsi="Arial"/>
          <w:sz w:val="13"/>
          <w:szCs w:val="13"/>
          <w:color w:val="auto"/>
        </w:rPr>
        <w:t>Bancorp’s regulatory capital ratios exceeded applicable minimum capital adequacy requirements, and the Bank continued to meet the regulatory capital thresholds necessary to be categorized as well capitalized under the prompt corrective action framework. Bancorp’s total risk-based capital ratio was 14.59% and 14.47% at September 30, 2026, and June 30, 2026, respectively. The tangible common equity ratio, a non-GAAP measure, was 11.69% and 11.67% at September 30, 2026, and June 30, 2026, respectively. Please see "Non-GAAP Financial Measures" below.</w:t>
      </w:r>
    </w:p>
    <w:p>
      <w:pPr>
        <w:spacing w:after="0" w:line="129" w:lineRule="exact"/>
        <w:rPr>
          <w:rFonts w:ascii="Arial" w:cs="Arial" w:eastAsia="Arial" w:hAnsi="Arial"/>
          <w:sz w:val="13"/>
          <w:szCs w:val="13"/>
          <w:color w:val="auto"/>
        </w:rPr>
      </w:pPr>
    </w:p>
    <w:p>
      <w:pPr>
        <w:ind w:left="208" w:hanging="208"/>
        <w:spacing w:after="0"/>
        <w:tabs>
          <w:tab w:leader="none" w:pos="208" w:val="left"/>
        </w:tabs>
        <w:numPr>
          <w:ilvl w:val="0"/>
          <w:numId w:val="5"/>
        </w:numPr>
        <w:rPr>
          <w:rFonts w:ascii="Arial" w:cs="Arial" w:eastAsia="Arial" w:hAnsi="Arial"/>
          <w:sz w:val="12"/>
          <w:szCs w:val="12"/>
          <w:color w:val="auto"/>
        </w:rPr>
      </w:pPr>
      <w:r>
        <w:rPr>
          <w:rFonts w:ascii="Arial" w:cs="Arial" w:eastAsia="Arial" w:hAnsi="Arial"/>
          <w:sz w:val="12"/>
          <w:szCs w:val="12"/>
          <w:color w:val="auto"/>
        </w:rPr>
        <w:t>Tangible book value per share, a non-GAAP measure, was $32.46 and $32.01 at September 30, 2026, and June 30, 2026, respectively. Please also see "Non-GAAP Financial Measures" below.</w:t>
      </w:r>
    </w:p>
    <w:p>
      <w:pPr>
        <w:spacing w:after="0" w:line="177" w:lineRule="exact"/>
        <w:rPr>
          <w:sz w:val="20"/>
          <w:szCs w:val="20"/>
          <w:color w:val="auto"/>
        </w:rPr>
      </w:pPr>
    </w:p>
    <w:p>
      <w:pPr>
        <w:ind w:left="208" w:hanging="208"/>
        <w:spacing w:after="0" w:line="272" w:lineRule="auto"/>
        <w:tabs>
          <w:tab w:leader="none" w:pos="207" w:val="left"/>
        </w:tabs>
        <w:numPr>
          <w:ilvl w:val="0"/>
          <w:numId w:val="6"/>
        </w:numPr>
        <w:rPr>
          <w:rFonts w:ascii="Arial" w:cs="Arial" w:eastAsia="Arial" w:hAnsi="Arial"/>
          <w:sz w:val="13"/>
          <w:szCs w:val="13"/>
          <w:color w:val="auto"/>
        </w:rPr>
      </w:pPr>
      <w:r>
        <w:rPr>
          <w:rFonts w:ascii="Arial" w:cs="Arial" w:eastAsia="Arial" w:hAnsi="Arial"/>
          <w:sz w:val="13"/>
          <w:szCs w:val="13"/>
          <w:color w:val="auto"/>
        </w:rPr>
        <w:t>Primary liquidity ratio, defined as cash and cash equivalents, deposits held in other banks and unpledged available for sale (“AFS”) securities as a percentage of total assets, was 11.7% and 13.0% at September 30, 2026, and June 30, 2026, respectively.</w:t>
      </w:r>
    </w:p>
    <w:p>
      <w:pPr>
        <w:spacing w:after="0" w:line="291"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auto"/>
        </w:rPr>
        <w:t>Net Interest Income and Net Interest Margin</w:t>
      </w:r>
    </w:p>
    <w:p>
      <w:pPr>
        <w:spacing w:after="0" w:line="166" w:lineRule="exact"/>
        <w:rPr>
          <w:sz w:val="20"/>
          <w:szCs w:val="20"/>
          <w:color w:val="auto"/>
        </w:rPr>
      </w:pPr>
    </w:p>
    <w:p>
      <w:pPr>
        <w:jc w:val="both"/>
        <w:ind w:left="8"/>
        <w:spacing w:after="0" w:line="249" w:lineRule="auto"/>
        <w:rPr>
          <w:sz w:val="20"/>
          <w:szCs w:val="20"/>
          <w:color w:val="auto"/>
        </w:rPr>
      </w:pPr>
      <w:r>
        <w:rPr>
          <w:rFonts w:ascii="Arial" w:cs="Arial" w:eastAsia="Arial" w:hAnsi="Arial"/>
          <w:sz w:val="13"/>
          <w:szCs w:val="13"/>
          <w:color w:val="auto"/>
        </w:rPr>
        <w:t>Net interest income was $37.1 million for the third quarter of 2026, representing an increase of $4.0 million, or 12.0%, from $33.1 million for the second quarter of 2026. The quarter-over-quarter increase in net interest income is attributed to growth in average interest-earning assets during the third quarter and the absence of $1.8 million in accelerated accretion associated with the sub debt redemption that occurred in the second quarter. The increase in interest-earning assets is attributed to growth in loan balances during the quarter as well as higher average balances of investment securities and interest-earning cash. These increases were funded in part by higher average deposit balances during the quarter.</w:t>
      </w:r>
    </w:p>
    <w:p>
      <w:pPr>
        <w:spacing w:after="0" w:line="145" w:lineRule="exact"/>
        <w:rPr>
          <w:sz w:val="20"/>
          <w:szCs w:val="20"/>
          <w:color w:val="auto"/>
        </w:rPr>
      </w:pPr>
    </w:p>
    <w:p>
      <w:pPr>
        <w:jc w:val="both"/>
        <w:ind w:left="8"/>
        <w:spacing w:after="0" w:line="248" w:lineRule="auto"/>
        <w:rPr>
          <w:sz w:val="20"/>
          <w:szCs w:val="20"/>
          <w:color w:val="auto"/>
        </w:rPr>
      </w:pPr>
      <w:r>
        <w:rPr>
          <w:rFonts w:ascii="Arial" w:cs="Arial" w:eastAsia="Arial" w:hAnsi="Arial"/>
          <w:sz w:val="13"/>
          <w:szCs w:val="13"/>
          <w:color w:val="auto"/>
        </w:rPr>
        <w:t>The taxable equivalent net interest margin, a non-GAAP measure, was 5.20% for the third quarter of 2026, compared to 4.92% for the second quarter, or 5.19%, on an adjusted basis when excluding the impact of the sub debt redemption, a non-GAAP measure. The modest quarter-over-quarter increase in the adjusted taxable equivalent net interest margin can be attributed to slightly higher overall yields on average interest-earning assets, including a seven-basis-point increase in the average yield on loans during the third quarter. This was partially offset by a slight increase in the adjusted cost of funds, a non-GAAP measure, during the third quarter that can be attributed to growth in money market deposits, coupled with slightly higher overall rates on deposits during the third quarter. The cost of funds for the third quarter of 2026 was 1.31%, compared to 1.59% for the second quarter, or 1.29% on an adjusted basis when excluding the impact of the sub debt redemption in the second quarter, a non-GAAP measure. Please see "Non-GAAP Financial Measures"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308"/>
          </w:cols>
          <w:pgMar w:left="292" w:top="670" w:right="299" w:bottom="1440" w:gutter="0" w:footer="0" w:header="0"/>
        </w:sectPr>
      </w:pPr>
    </w:p>
    <w:bookmarkStart w:id="7" w:name="page8"/>
    <w:bookmarkEnd w:id="7"/>
    <w:p>
      <w:pPr>
        <w:ind w:left="8"/>
        <w:spacing w:after="0" w:line="272" w:lineRule="auto"/>
        <w:rPr>
          <w:sz w:val="20"/>
          <w:szCs w:val="20"/>
          <w:color w:val="auto"/>
        </w:rPr>
      </w:pPr>
      <w:r>
        <w:rPr>
          <w:rFonts w:ascii="Arial" w:cs="Arial" w:eastAsia="Arial" w:hAnsi="Arial"/>
          <w:sz w:val="13"/>
          <w:szCs w:val="13"/>
          <w:color w:val="auto"/>
        </w:rPr>
        <w:t>The following tables compare interest income, average interest-earning assets, interest expense, average interest-bearing liabilities, net interest income, net interest margin and cost of funds for each period presented:</w:t>
      </w:r>
    </w:p>
    <w:p>
      <w:pPr>
        <w:spacing w:after="0" w:line="117"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27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5"/>
          </w:tcPr>
          <w:p>
            <w:pPr>
              <w:jc w:val="center"/>
              <w:ind w:left="653"/>
              <w:spacing w:after="0"/>
              <w:rPr>
                <w:sz w:val="20"/>
                <w:szCs w:val="20"/>
                <w:color w:val="auto"/>
              </w:rPr>
            </w:pPr>
            <w:r>
              <w:rPr>
                <w:rFonts w:ascii="Arial" w:cs="Arial" w:eastAsia="Arial" w:hAnsi="Arial"/>
                <w:sz w:val="8"/>
                <w:szCs w:val="8"/>
                <w:b w:val="1"/>
                <w:bCs w:val="1"/>
                <w:color w:val="auto"/>
              </w:rPr>
              <w:t>For the Three Months Ended</w:t>
            </w: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r>
      <w:tr>
        <w:trPr>
          <w:trHeight w:val="124"/>
        </w:trPr>
        <w:tc>
          <w:tcPr>
            <w:tcW w:w="27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8"/>
                <w:szCs w:val="8"/>
                <w:b w:val="1"/>
                <w:bCs w:val="1"/>
                <w:color w:val="auto"/>
              </w:rPr>
              <w:t>September 30, 2026</w:t>
            </w: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ind w:left="60"/>
              <w:spacing w:after="0"/>
              <w:rPr>
                <w:sz w:val="20"/>
                <w:szCs w:val="20"/>
                <w:color w:val="auto"/>
              </w:rPr>
            </w:pPr>
            <w:r>
              <w:rPr>
                <w:rFonts w:ascii="Arial" w:cs="Arial" w:eastAsia="Arial" w:hAnsi="Arial"/>
                <w:sz w:val="8"/>
                <w:szCs w:val="8"/>
                <w:b w:val="1"/>
                <w:bCs w:val="1"/>
                <w:color w:val="auto"/>
              </w:rPr>
              <w:t>June 30, 2026</w:t>
            </w: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8"/>
                <w:szCs w:val="8"/>
                <w:b w:val="1"/>
                <w:bCs w:val="1"/>
                <w:color w:val="auto"/>
              </w:rPr>
              <w:t>September 30, 2025</w:t>
            </w:r>
          </w:p>
        </w:tc>
        <w:tc>
          <w:tcPr>
            <w:tcW w:w="840" w:type="dxa"/>
            <w:vAlign w:val="bottom"/>
            <w:tcBorders>
              <w:bottom w:val="single" w:sz="8" w:color="auto"/>
            </w:tcBorders>
          </w:tcPr>
          <w:p>
            <w:pPr>
              <w:spacing w:after="0"/>
              <w:rPr>
                <w:sz w:val="10"/>
                <w:szCs w:val="10"/>
                <w:color w:val="auto"/>
              </w:rPr>
            </w:pPr>
          </w:p>
        </w:tc>
      </w:tr>
      <w:tr>
        <w:trPr>
          <w:trHeight w:val="102"/>
        </w:trPr>
        <w:tc>
          <w:tcPr>
            <w:tcW w:w="2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jc w:val="right"/>
              <w:ind w:right="33"/>
              <w:spacing w:after="0"/>
              <w:rPr>
                <w:sz w:val="20"/>
                <w:szCs w:val="20"/>
                <w:color w:val="auto"/>
              </w:rPr>
            </w:pPr>
            <w:r>
              <w:rPr>
                <w:rFonts w:ascii="Arial" w:cs="Arial" w:eastAsia="Arial" w:hAnsi="Arial"/>
                <w:sz w:val="8"/>
                <w:szCs w:val="8"/>
                <w:b w:val="1"/>
                <w:bCs w:val="1"/>
                <w:color w:val="auto"/>
              </w:rPr>
              <w:t>Interest Income /</w:t>
            </w: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Interest Income /</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ind w:right="33"/>
              <w:spacing w:after="0"/>
              <w:rPr>
                <w:sz w:val="20"/>
                <w:szCs w:val="20"/>
                <w:color w:val="auto"/>
              </w:rPr>
            </w:pPr>
            <w:r>
              <w:rPr>
                <w:rFonts w:ascii="Arial" w:cs="Arial" w:eastAsia="Arial" w:hAnsi="Arial"/>
                <w:sz w:val="8"/>
                <w:szCs w:val="8"/>
                <w:b w:val="1"/>
                <w:bCs w:val="1"/>
                <w:color w:val="auto"/>
              </w:rPr>
              <w:t>Interest Income /</w:t>
            </w:r>
          </w:p>
        </w:tc>
        <w:tc>
          <w:tcPr>
            <w:tcW w:w="840" w:type="dxa"/>
            <w:vAlign w:val="bottom"/>
          </w:tcPr>
          <w:p>
            <w:pPr>
              <w:spacing w:after="0"/>
              <w:rPr>
                <w:sz w:val="8"/>
                <w:szCs w:val="8"/>
                <w:color w:val="auto"/>
              </w:rPr>
            </w:pPr>
          </w:p>
        </w:tc>
      </w:tr>
      <w:tr>
        <w:trPr>
          <w:trHeight w:val="121"/>
        </w:trPr>
        <w:tc>
          <w:tcPr>
            <w:tcW w:w="27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8"/>
                <w:szCs w:val="8"/>
                <w:b w:val="1"/>
                <w:bCs w:val="1"/>
                <w:color w:val="auto"/>
              </w:rPr>
              <w:t>Average Balance</w:t>
            </w: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8"/>
                <w:szCs w:val="8"/>
                <w:b w:val="1"/>
                <w:bCs w:val="1"/>
                <w:color w:val="auto"/>
              </w:rPr>
              <w:t>Expense</w:t>
            </w:r>
          </w:p>
        </w:tc>
        <w:tc>
          <w:tcPr>
            <w:tcW w:w="880" w:type="dxa"/>
            <w:vAlign w:val="bottom"/>
            <w:tcBorders>
              <w:bottom w:val="single" w:sz="8" w:color="auto"/>
            </w:tcBorders>
            <w:gridSpan w:val="2"/>
          </w:tcPr>
          <w:p>
            <w:pPr>
              <w:ind w:left="120"/>
              <w:spacing w:after="0"/>
              <w:rPr>
                <w:sz w:val="20"/>
                <w:szCs w:val="20"/>
                <w:color w:val="auto"/>
              </w:rPr>
            </w:pPr>
            <w:r>
              <w:rPr>
                <w:rFonts w:ascii="Arial" w:cs="Arial" w:eastAsia="Arial" w:hAnsi="Arial"/>
                <w:sz w:val="8"/>
                <w:szCs w:val="8"/>
                <w:b w:val="1"/>
                <w:bCs w:val="1"/>
                <w:color w:val="auto"/>
              </w:rPr>
              <w:t>Avg Yield / Cost</w:t>
            </w: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8"/>
                <w:szCs w:val="8"/>
                <w:b w:val="1"/>
                <w:bCs w:val="1"/>
                <w:color w:val="auto"/>
              </w:rPr>
              <w:t>Average Balance</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8"/>
                <w:szCs w:val="8"/>
                <w:b w:val="1"/>
                <w:bCs w:val="1"/>
                <w:color w:val="auto"/>
              </w:rPr>
              <w:t>Expense</w:t>
            </w: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8"/>
                <w:szCs w:val="8"/>
                <w:b w:val="1"/>
                <w:bCs w:val="1"/>
                <w:color w:val="auto"/>
              </w:rPr>
              <w:t>Avg Yield / Cost</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8"/>
                <w:szCs w:val="8"/>
                <w:b w:val="1"/>
                <w:bCs w:val="1"/>
                <w:color w:val="auto"/>
              </w:rPr>
              <w:t>Average Balance</w:t>
            </w: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8"/>
                <w:szCs w:val="8"/>
                <w:b w:val="1"/>
                <w:bCs w:val="1"/>
                <w:color w:val="auto"/>
              </w:rPr>
              <w:t>Expense</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8"/>
                <w:szCs w:val="8"/>
                <w:b w:val="1"/>
                <w:bCs w:val="1"/>
                <w:color w:val="auto"/>
              </w:rPr>
              <w:t>Avg Yield / Cost</w:t>
            </w:r>
          </w:p>
        </w:tc>
      </w:tr>
      <w:tr>
        <w:trPr>
          <w:trHeight w:val="122"/>
        </w:trPr>
        <w:tc>
          <w:tcPr>
            <w:tcW w:w="2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8"/>
                <w:szCs w:val="8"/>
                <w:i w:val="1"/>
                <w:iCs w:val="1"/>
                <w:color w:val="auto"/>
              </w:rPr>
              <w:t>(Dollars in thousands)</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63"/>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auto"/>
              </w:rPr>
              <w:t>ASSETS</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46"/>
        </w:trPr>
        <w:tc>
          <w:tcPr>
            <w:tcW w:w="2720" w:type="dxa"/>
            <w:vAlign w:val="bottom"/>
          </w:tcPr>
          <w:p>
            <w:pPr>
              <w:ind w:left="80"/>
              <w:spacing w:after="0"/>
              <w:rPr>
                <w:sz w:val="20"/>
                <w:szCs w:val="20"/>
                <w:color w:val="auto"/>
              </w:rPr>
            </w:pPr>
            <w:r>
              <w:rPr>
                <w:rFonts w:ascii="Arial" w:cs="Arial" w:eastAsia="Arial" w:hAnsi="Arial"/>
                <w:sz w:val="10"/>
                <w:szCs w:val="10"/>
                <w:color w:val="auto"/>
              </w:rPr>
              <w:t>Interest-earning cash</w:t>
            </w:r>
          </w:p>
        </w:tc>
        <w:tc>
          <w:tcPr>
            <w:tcW w:w="1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149,017</w:t>
            </w:r>
          </w:p>
        </w:tc>
        <w:tc>
          <w:tcPr>
            <w:tcW w:w="1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13"/>
              <w:spacing w:after="0"/>
              <w:rPr>
                <w:sz w:val="20"/>
                <w:szCs w:val="20"/>
                <w:color w:val="auto"/>
              </w:rPr>
            </w:pPr>
            <w:r>
              <w:rPr>
                <w:rFonts w:ascii="Arial" w:cs="Arial" w:eastAsia="Arial" w:hAnsi="Arial"/>
                <w:sz w:val="10"/>
                <w:szCs w:val="10"/>
                <w:color w:val="auto"/>
              </w:rPr>
              <w:t>1,386</w:t>
            </w:r>
          </w:p>
        </w:tc>
        <w:tc>
          <w:tcPr>
            <w:tcW w:w="780" w:type="dxa"/>
            <w:vAlign w:val="bottom"/>
          </w:tcPr>
          <w:p>
            <w:pPr>
              <w:jc w:val="right"/>
              <w:spacing w:after="0"/>
              <w:rPr>
                <w:sz w:val="20"/>
                <w:szCs w:val="20"/>
                <w:color w:val="auto"/>
              </w:rPr>
            </w:pPr>
            <w:r>
              <w:rPr>
                <w:rFonts w:ascii="Arial" w:cs="Arial" w:eastAsia="Arial" w:hAnsi="Arial"/>
                <w:sz w:val="10"/>
                <w:szCs w:val="10"/>
                <w:color w:val="auto"/>
              </w:rPr>
              <w:t>3.69 %</w:t>
            </w:r>
          </w:p>
        </w:tc>
        <w:tc>
          <w:tcPr>
            <w:tcW w:w="10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98,211</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893</w:t>
            </w: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3.65 %</w:t>
            </w:r>
          </w:p>
        </w:tc>
        <w:tc>
          <w:tcPr>
            <w:tcW w:w="10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116,056</w:t>
            </w:r>
          </w:p>
        </w:tc>
        <w:tc>
          <w:tcPr>
            <w:tcW w:w="20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1,284</w:t>
            </w:r>
          </w:p>
        </w:tc>
        <w:tc>
          <w:tcPr>
            <w:tcW w:w="840" w:type="dxa"/>
            <w:vAlign w:val="bottom"/>
          </w:tcPr>
          <w:p>
            <w:pPr>
              <w:jc w:val="right"/>
              <w:spacing w:after="0"/>
              <w:rPr>
                <w:sz w:val="20"/>
                <w:szCs w:val="20"/>
                <w:color w:val="auto"/>
              </w:rPr>
            </w:pPr>
            <w:r>
              <w:rPr>
                <w:rFonts w:ascii="Arial" w:cs="Arial" w:eastAsia="Arial" w:hAnsi="Arial"/>
                <w:sz w:val="10"/>
                <w:szCs w:val="10"/>
                <w:color w:val="auto"/>
              </w:rPr>
              <w:t>4.39 %</w:t>
            </w:r>
          </w:p>
        </w:tc>
      </w:tr>
      <w:tr>
        <w:trPr>
          <w:trHeight w:val="160"/>
        </w:trPr>
        <w:tc>
          <w:tcPr>
            <w:tcW w:w="2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 xml:space="preserve">Investment securities </w:t>
            </w:r>
            <w:r>
              <w:rPr>
                <w:rFonts w:ascii="Arial" w:cs="Arial" w:eastAsia="Arial" w:hAnsi="Arial"/>
                <w:sz w:val="12"/>
                <w:szCs w:val="12"/>
                <w:color w:val="auto"/>
                <w:vertAlign w:val="superscript"/>
              </w:rPr>
              <w:t>(1)</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394,507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3,797</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3.82 %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382,863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3,530</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3.70 %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385,235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3,374</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3.47 %</w:t>
            </w:r>
          </w:p>
        </w:tc>
      </w:tr>
      <w:tr>
        <w:trPr>
          <w:trHeight w:val="153"/>
        </w:trPr>
        <w:tc>
          <w:tcPr>
            <w:tcW w:w="2720" w:type="dxa"/>
            <w:vAlign w:val="bottom"/>
            <w:tcBorders>
              <w:bottom w:val="single" w:sz="8" w:color="CCEEFF"/>
            </w:tcBorders>
          </w:tcPr>
          <w:p>
            <w:pPr>
              <w:ind w:left="80"/>
              <w:spacing w:after="0" w:line="153" w:lineRule="exact"/>
              <w:rPr>
                <w:sz w:val="20"/>
                <w:szCs w:val="20"/>
                <w:color w:val="auto"/>
              </w:rPr>
            </w:pPr>
            <w:r>
              <w:rPr>
                <w:rFonts w:ascii="Arial" w:cs="Arial" w:eastAsia="Arial" w:hAnsi="Arial"/>
                <w:sz w:val="17"/>
                <w:szCs w:val="17"/>
                <w:color w:val="auto"/>
                <w:vertAlign w:val="subscript"/>
              </w:rPr>
              <w:t>Loans</w:t>
            </w:r>
            <w:r>
              <w:rPr>
                <w:rFonts w:ascii="Arial" w:cs="Arial" w:eastAsia="Arial" w:hAnsi="Arial"/>
                <w:sz w:val="6"/>
                <w:szCs w:val="6"/>
                <w:color w:val="auto"/>
              </w:rPr>
              <w:t xml:space="preserve"> (1) (2)</w:t>
            </w: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2,300,973</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rPr>
              <w:t>40,659</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7.01 %</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2,233,133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38,631</w:t>
            </w:r>
          </w:p>
        </w:tc>
        <w:tc>
          <w:tcPr>
            <w:tcW w:w="16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6.94 %</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2,109,593</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38,356</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7.21 %</w:t>
            </w:r>
          </w:p>
        </w:tc>
      </w:tr>
      <w:tr>
        <w:trPr>
          <w:trHeight w:val="142"/>
        </w:trPr>
        <w:tc>
          <w:tcPr>
            <w:tcW w:w="27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 xml:space="preserve">Total interest-earning assets </w:t>
            </w:r>
            <w:r>
              <w:rPr>
                <w:rFonts w:ascii="Arial" w:cs="Arial" w:eastAsia="Arial" w:hAnsi="Arial"/>
                <w:sz w:val="12"/>
                <w:szCs w:val="12"/>
                <w:color w:val="auto"/>
                <w:vertAlign w:val="superscript"/>
              </w:rPr>
              <w:t>(1)</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2,844,497</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color w:val="auto"/>
              </w:rPr>
              <w:t>45,842</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6.39 %</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2,714,207</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43,054</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6.36 %</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2,610,884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43,014</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6.54 %</w:t>
            </w:r>
          </w:p>
        </w:tc>
      </w:tr>
      <w:tr>
        <w:trPr>
          <w:trHeight w:val="126"/>
        </w:trPr>
        <w:tc>
          <w:tcPr>
            <w:tcW w:w="272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Noninterest-earning assets</w:t>
            </w: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167,307</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74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165,372</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4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161,773</w:t>
            </w: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4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r>
      <w:tr>
        <w:trPr>
          <w:trHeight w:val="165"/>
        </w:trPr>
        <w:tc>
          <w:tcPr>
            <w:tcW w:w="2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Total assets</w:t>
            </w:r>
          </w:p>
        </w:tc>
        <w:tc>
          <w:tcPr>
            <w:tcW w:w="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3,011,804</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2,879,579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2,772,657</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r>
      <w:tr>
        <w:trPr>
          <w:trHeight w:val="126"/>
        </w:trPr>
        <w:tc>
          <w:tcPr>
            <w:tcW w:w="2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53"/>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auto"/>
              </w:rPr>
              <w:t>LIABILITIES</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46"/>
        </w:trPr>
        <w:tc>
          <w:tcPr>
            <w:tcW w:w="2720" w:type="dxa"/>
            <w:vAlign w:val="bottom"/>
          </w:tcPr>
          <w:p>
            <w:pPr>
              <w:ind w:left="80"/>
              <w:spacing w:after="0"/>
              <w:rPr>
                <w:sz w:val="20"/>
                <w:szCs w:val="20"/>
                <w:color w:val="auto"/>
              </w:rPr>
            </w:pPr>
            <w:r>
              <w:rPr>
                <w:rFonts w:ascii="Arial" w:cs="Arial" w:eastAsia="Arial" w:hAnsi="Arial"/>
                <w:sz w:val="10"/>
                <w:szCs w:val="10"/>
                <w:color w:val="auto"/>
              </w:rPr>
              <w:t>Interest-bearing demand deposits</w:t>
            </w:r>
          </w:p>
        </w:tc>
        <w:tc>
          <w:tcPr>
            <w:tcW w:w="1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243,538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0"/>
                <w:szCs w:val="10"/>
                <w:color w:val="auto"/>
              </w:rPr>
              <w:t>606</w:t>
            </w:r>
          </w:p>
        </w:tc>
        <w:tc>
          <w:tcPr>
            <w:tcW w:w="780" w:type="dxa"/>
            <w:vAlign w:val="bottom"/>
          </w:tcPr>
          <w:p>
            <w:pPr>
              <w:jc w:val="right"/>
              <w:spacing w:after="0"/>
              <w:rPr>
                <w:sz w:val="20"/>
                <w:szCs w:val="20"/>
                <w:color w:val="auto"/>
              </w:rPr>
            </w:pPr>
            <w:r>
              <w:rPr>
                <w:rFonts w:ascii="Arial" w:cs="Arial" w:eastAsia="Arial" w:hAnsi="Arial"/>
                <w:sz w:val="10"/>
                <w:szCs w:val="10"/>
                <w:color w:val="auto"/>
              </w:rPr>
              <w:t>0.99 %</w:t>
            </w:r>
          </w:p>
        </w:tc>
        <w:tc>
          <w:tcPr>
            <w:tcW w:w="10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247,226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571</w:t>
            </w: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0.93 %</w:t>
            </w:r>
          </w:p>
        </w:tc>
        <w:tc>
          <w:tcPr>
            <w:tcW w:w="10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248,684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665</w:t>
            </w:r>
          </w:p>
        </w:tc>
        <w:tc>
          <w:tcPr>
            <w:tcW w:w="840" w:type="dxa"/>
            <w:vAlign w:val="bottom"/>
          </w:tcPr>
          <w:p>
            <w:pPr>
              <w:jc w:val="right"/>
              <w:spacing w:after="0"/>
              <w:rPr>
                <w:sz w:val="20"/>
                <w:szCs w:val="20"/>
                <w:color w:val="auto"/>
              </w:rPr>
            </w:pPr>
            <w:r>
              <w:rPr>
                <w:rFonts w:ascii="Arial" w:cs="Arial" w:eastAsia="Arial" w:hAnsi="Arial"/>
                <w:sz w:val="10"/>
                <w:szCs w:val="10"/>
                <w:color w:val="auto"/>
              </w:rPr>
              <w:t>1.06 %</w:t>
            </w:r>
          </w:p>
        </w:tc>
      </w:tr>
      <w:tr>
        <w:trPr>
          <w:trHeight w:val="160"/>
        </w:trPr>
        <w:tc>
          <w:tcPr>
            <w:tcW w:w="2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Money market deposits</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1,030,064</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6,762</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2.60 %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945,898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6,043</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2.56 %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785,520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5,787</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2.92 %</w:t>
            </w:r>
          </w:p>
        </w:tc>
      </w:tr>
      <w:tr>
        <w:trPr>
          <w:trHeight w:val="146"/>
        </w:trPr>
        <w:tc>
          <w:tcPr>
            <w:tcW w:w="2720" w:type="dxa"/>
            <w:vAlign w:val="bottom"/>
          </w:tcPr>
          <w:p>
            <w:pPr>
              <w:ind w:left="80"/>
              <w:spacing w:after="0"/>
              <w:rPr>
                <w:sz w:val="20"/>
                <w:szCs w:val="20"/>
                <w:color w:val="auto"/>
              </w:rPr>
            </w:pPr>
            <w:r>
              <w:rPr>
                <w:rFonts w:ascii="Arial" w:cs="Arial" w:eastAsia="Arial" w:hAnsi="Arial"/>
                <w:sz w:val="10"/>
                <w:szCs w:val="10"/>
                <w:color w:val="auto"/>
              </w:rPr>
              <w:t>Savings deposits</w:t>
            </w: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170,096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0"/>
                <w:szCs w:val="10"/>
                <w:color w:val="auto"/>
              </w:rPr>
              <w:t>365</w:t>
            </w:r>
          </w:p>
        </w:tc>
        <w:tc>
          <w:tcPr>
            <w:tcW w:w="780" w:type="dxa"/>
            <w:vAlign w:val="bottom"/>
          </w:tcPr>
          <w:p>
            <w:pPr>
              <w:jc w:val="right"/>
              <w:spacing w:after="0"/>
              <w:rPr>
                <w:sz w:val="20"/>
                <w:szCs w:val="20"/>
                <w:color w:val="auto"/>
              </w:rPr>
            </w:pPr>
            <w:r>
              <w:rPr>
                <w:rFonts w:ascii="Arial" w:cs="Arial" w:eastAsia="Arial" w:hAnsi="Arial"/>
                <w:sz w:val="10"/>
                <w:szCs w:val="10"/>
                <w:color w:val="auto"/>
              </w:rPr>
              <w:t>0.85 %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160,143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306</w:t>
            </w: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0.77 %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181,256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441</w:t>
            </w:r>
          </w:p>
        </w:tc>
        <w:tc>
          <w:tcPr>
            <w:tcW w:w="840" w:type="dxa"/>
            <w:vAlign w:val="bottom"/>
          </w:tcPr>
          <w:p>
            <w:pPr>
              <w:jc w:val="right"/>
              <w:spacing w:after="0"/>
              <w:rPr>
                <w:sz w:val="20"/>
                <w:szCs w:val="20"/>
                <w:color w:val="auto"/>
              </w:rPr>
            </w:pPr>
            <w:r>
              <w:rPr>
                <w:rFonts w:ascii="Arial" w:cs="Arial" w:eastAsia="Arial" w:hAnsi="Arial"/>
                <w:sz w:val="10"/>
                <w:szCs w:val="10"/>
                <w:color w:val="auto"/>
              </w:rPr>
              <w:t>0.97 %</w:t>
            </w:r>
          </w:p>
        </w:tc>
      </w:tr>
      <w:tr>
        <w:trPr>
          <w:trHeight w:val="161"/>
        </w:trPr>
        <w:tc>
          <w:tcPr>
            <w:tcW w:w="2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Time certificates of deposits</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136,962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819</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2.37 %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139,526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844</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2.43 %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152,992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1,125</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2.92 %</w:t>
            </w:r>
          </w:p>
        </w:tc>
      </w:tr>
      <w:tr>
        <w:trPr>
          <w:trHeight w:val="145"/>
        </w:trPr>
        <w:tc>
          <w:tcPr>
            <w:tcW w:w="2720" w:type="dxa"/>
            <w:vAlign w:val="bottom"/>
          </w:tcPr>
          <w:p>
            <w:pPr>
              <w:ind w:left="80"/>
              <w:spacing w:after="0"/>
              <w:rPr>
                <w:sz w:val="20"/>
                <w:szCs w:val="20"/>
                <w:color w:val="auto"/>
              </w:rPr>
            </w:pPr>
            <w:r>
              <w:rPr>
                <w:rFonts w:ascii="Arial" w:cs="Arial" w:eastAsia="Arial" w:hAnsi="Arial"/>
                <w:sz w:val="10"/>
                <w:szCs w:val="10"/>
                <w:color w:val="auto"/>
              </w:rPr>
              <w:t>Subordinated debt</w:t>
            </w:r>
          </w:p>
        </w:tc>
        <w:tc>
          <w:tcPr>
            <w:tcW w:w="14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0"/>
                <w:szCs w:val="10"/>
                <w:color w:val="auto"/>
              </w:rPr>
              <w:t>— %</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7,794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1,991</w:t>
            </w: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102.46 %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11,052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229</w:t>
            </w:r>
          </w:p>
        </w:tc>
        <w:tc>
          <w:tcPr>
            <w:tcW w:w="840" w:type="dxa"/>
            <w:vAlign w:val="bottom"/>
          </w:tcPr>
          <w:p>
            <w:pPr>
              <w:jc w:val="right"/>
              <w:spacing w:after="0"/>
              <w:rPr>
                <w:sz w:val="20"/>
                <w:szCs w:val="20"/>
                <w:color w:val="auto"/>
              </w:rPr>
            </w:pPr>
            <w:r>
              <w:rPr>
                <w:rFonts w:ascii="Arial" w:cs="Arial" w:eastAsia="Arial" w:hAnsi="Arial"/>
                <w:sz w:val="10"/>
                <w:szCs w:val="10"/>
                <w:color w:val="auto"/>
              </w:rPr>
              <w:t>8.22 %</w:t>
            </w:r>
          </w:p>
        </w:tc>
      </w:tr>
      <w:tr>
        <w:trPr>
          <w:trHeight w:val="142"/>
        </w:trPr>
        <w:tc>
          <w:tcPr>
            <w:tcW w:w="27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Total interest-bearing liabilities</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1,580,660</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color w:val="auto"/>
              </w:rPr>
              <w:t>8,552</w:t>
            </w:r>
          </w:p>
        </w:tc>
        <w:tc>
          <w:tcPr>
            <w:tcW w:w="7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2.15 %</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1,500,587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9,755</w:t>
            </w: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2.61 %</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1,379,504</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8,247</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2.37 %</w:t>
            </w:r>
          </w:p>
        </w:tc>
      </w:tr>
      <w:tr>
        <w:trPr>
          <w:trHeight w:val="142"/>
        </w:trPr>
        <w:tc>
          <w:tcPr>
            <w:tcW w:w="2720" w:type="dxa"/>
            <w:vAlign w:val="bottom"/>
          </w:tcPr>
          <w:p>
            <w:pPr>
              <w:ind w:left="80"/>
              <w:spacing w:after="0"/>
              <w:rPr>
                <w:sz w:val="20"/>
                <w:szCs w:val="20"/>
                <w:color w:val="auto"/>
              </w:rPr>
            </w:pPr>
            <w:r>
              <w:rPr>
                <w:rFonts w:ascii="Arial" w:cs="Arial" w:eastAsia="Arial" w:hAnsi="Arial"/>
                <w:sz w:val="10"/>
                <w:szCs w:val="10"/>
                <w:color w:val="auto"/>
              </w:rPr>
              <w:t>Noninterest-bearing deposits</w:t>
            </w: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999,936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959,162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1,008,555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3"/>
        </w:trPr>
        <w:tc>
          <w:tcPr>
            <w:tcW w:w="2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Noninterest-bearing liabilities</w:t>
            </w:r>
          </w:p>
        </w:tc>
        <w:tc>
          <w:tcPr>
            <w:tcW w:w="1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27,110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23,876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20,913</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42"/>
        </w:trPr>
        <w:tc>
          <w:tcPr>
            <w:tcW w:w="272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Total liabilities</w:t>
            </w: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2,607,706</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2,483,625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2,408,972</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r>
      <w:tr>
        <w:trPr>
          <w:trHeight w:val="132"/>
        </w:trPr>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45"/>
        </w:trPr>
        <w:tc>
          <w:tcPr>
            <w:tcW w:w="27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EQUITY</w:t>
            </w: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404,098</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395,954</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363,685</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r>
      <w:tr>
        <w:trPr>
          <w:trHeight w:val="166"/>
        </w:trPr>
        <w:tc>
          <w:tcPr>
            <w:tcW w:w="2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Total liabilities and equity</w:t>
            </w:r>
          </w:p>
        </w:tc>
        <w:tc>
          <w:tcPr>
            <w:tcW w:w="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3,011,804</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2,879,579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2,772,657</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r>
      <w:tr>
        <w:trPr>
          <w:trHeight w:val="126"/>
        </w:trPr>
        <w:tc>
          <w:tcPr>
            <w:tcW w:w="2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80"/>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 xml:space="preserve">Taxable equivalent net interest income and margin </w:t>
            </w:r>
            <w:r>
              <w:rPr>
                <w:rFonts w:ascii="Arial" w:cs="Arial" w:eastAsia="Arial" w:hAnsi="Arial"/>
                <w:sz w:val="12"/>
                <w:szCs w:val="12"/>
                <w:color w:val="auto"/>
                <w:vertAlign w:val="superscript"/>
              </w:rPr>
              <w:t>(1)</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color w:val="auto"/>
              </w:rPr>
              <w:t>37,290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5.20 %</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33,299</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4.92 %</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34,767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5.28 %</w:t>
            </w:r>
          </w:p>
        </w:tc>
      </w:tr>
      <w:tr>
        <w:trPr>
          <w:trHeight w:val="158"/>
        </w:trPr>
        <w:tc>
          <w:tcPr>
            <w:tcW w:w="27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GAAP net interest income and margin</w:t>
            </w:r>
          </w:p>
        </w:tc>
        <w:tc>
          <w:tcPr>
            <w:tcW w:w="14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0"/>
                <w:szCs w:val="10"/>
                <w:color w:val="auto"/>
              </w:rPr>
              <w:t>37,110</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5.18 %</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33,138</w:t>
            </w:r>
          </w:p>
        </w:tc>
        <w:tc>
          <w:tcPr>
            <w:tcW w:w="16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4.90 %</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gridSpan w:val="2"/>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34,634</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5.26 %</w:t>
            </w:r>
          </w:p>
        </w:tc>
      </w:tr>
      <w:tr>
        <w:trPr>
          <w:trHeight w:val="135"/>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auto"/>
              </w:rPr>
              <w:t>Cost of funds</w:t>
            </w: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1.31 %</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1.59 %</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1.37 %</w:t>
            </w:r>
          </w:p>
        </w:tc>
      </w:tr>
    </w:tbl>
    <w:p>
      <w:pPr>
        <w:spacing w:after="0" w:line="53" w:lineRule="exact"/>
        <w:rPr>
          <w:sz w:val="20"/>
          <w:szCs w:val="20"/>
          <w:color w:val="auto"/>
        </w:rPr>
      </w:pPr>
    </w:p>
    <w:p>
      <w:pPr>
        <w:ind w:left="8" w:hanging="8"/>
        <w:spacing w:after="0" w:line="268" w:lineRule="auto"/>
        <w:tabs>
          <w:tab w:leader="none" w:pos="136" w:val="left"/>
        </w:tabs>
        <w:numPr>
          <w:ilvl w:val="0"/>
          <w:numId w:val="7"/>
        </w:numPr>
        <w:rPr>
          <w:rFonts w:ascii="Arial" w:cs="Arial" w:eastAsia="Arial" w:hAnsi="Arial"/>
          <w:sz w:val="8"/>
          <w:szCs w:val="8"/>
          <w:color w:val="auto"/>
        </w:rPr>
      </w:pPr>
      <w:r>
        <w:rPr>
          <w:rFonts w:ascii="Arial" w:cs="Arial" w:eastAsia="Arial" w:hAnsi="Arial"/>
          <w:sz w:val="8"/>
          <w:szCs w:val="8"/>
          <w:color w:val="auto"/>
        </w:rPr>
        <w:t>Interest income on investment securities, interest income on loans, net interest income and net interest margin are presented here on a taxable equivalent basis, using the statutory federal income tax rate of 21 percent, and are non-GAAP financial measures. Please see "Non-GAAP Financial Measures" below.</w:t>
      </w:r>
    </w:p>
    <w:p>
      <w:pPr>
        <w:spacing w:after="0" w:line="103" w:lineRule="exact"/>
        <w:rPr>
          <w:rFonts w:ascii="Arial" w:cs="Arial" w:eastAsia="Arial" w:hAnsi="Arial"/>
          <w:sz w:val="8"/>
          <w:szCs w:val="8"/>
          <w:color w:val="auto"/>
        </w:rPr>
      </w:pPr>
    </w:p>
    <w:p>
      <w:pPr>
        <w:ind w:left="128" w:hanging="128"/>
        <w:spacing w:after="0"/>
        <w:tabs>
          <w:tab w:leader="none" w:pos="128" w:val="left"/>
        </w:tabs>
        <w:numPr>
          <w:ilvl w:val="0"/>
          <w:numId w:val="7"/>
        </w:numPr>
        <w:rPr>
          <w:rFonts w:ascii="Arial" w:cs="Arial" w:eastAsia="Arial" w:hAnsi="Arial"/>
          <w:sz w:val="8"/>
          <w:szCs w:val="8"/>
          <w:color w:val="auto"/>
        </w:rPr>
      </w:pPr>
      <w:r>
        <w:rPr>
          <w:rFonts w:ascii="Arial" w:cs="Arial" w:eastAsia="Arial" w:hAnsi="Arial"/>
          <w:sz w:val="8"/>
          <w:szCs w:val="8"/>
          <w:color w:val="auto"/>
        </w:rPr>
        <w:t>Average balances on loans outstanding include nonaccrual loans, unamortized net deferred loan fees/costs and unaccreted purchase discount on acquired loans. The amortization of net loan origination fees and accretion of purchase discount on acquired loans are included in interest income on loans.</w:t>
      </w:r>
    </w:p>
    <w:p>
      <w:pPr>
        <w:spacing w:after="0" w:line="200" w:lineRule="exact"/>
        <w:rPr>
          <w:sz w:val="20"/>
          <w:szCs w:val="20"/>
          <w:color w:val="auto"/>
        </w:rPr>
      </w:pP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308"/>
          </w:cols>
          <w:pgMar w:left="292" w:top="670" w:right="299" w:bottom="1440" w:gutter="0" w:footer="0" w:header="0"/>
        </w:sectPr>
      </w:pPr>
    </w:p>
    <w:bookmarkStart w:id="8" w:name="page9"/>
    <w:bookmarkEnd w:id="8"/>
    <w:tbl>
      <w:tblPr>
        <w:tblLayout w:type="fixed"/>
        <w:tblInd w:w="8" w:type="dxa"/>
        <w:tblCellMar>
          <w:top w:w="0" w:type="dxa"/>
          <w:left w:w="0" w:type="dxa"/>
          <w:bottom w:w="0" w:type="dxa"/>
          <w:right w:w="0" w:type="dxa"/>
        </w:tblCellMar>
      </w:tblPr>
      <w:tr>
        <w:trPr>
          <w:trHeight w:val="136"/>
        </w:trPr>
        <w:tc>
          <w:tcPr>
            <w:tcW w:w="37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0"/>
                <w:szCs w:val="10"/>
                <w:b w:val="1"/>
                <w:bCs w:val="1"/>
                <w:color w:val="auto"/>
                <w:w w:val="95"/>
              </w:rPr>
              <w:t>For the Nine Months Ended</w:t>
            </w:r>
          </w:p>
        </w:tc>
        <w:tc>
          <w:tcPr>
            <w:tcW w:w="4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142"/>
        </w:trPr>
        <w:tc>
          <w:tcPr>
            <w:tcW w:w="37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September 30, 2026</w:t>
            </w:r>
          </w:p>
        </w:tc>
        <w:tc>
          <w:tcPr>
            <w:tcW w:w="1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September 30, 2025</w:t>
            </w:r>
          </w:p>
        </w:tc>
        <w:tc>
          <w:tcPr>
            <w:tcW w:w="1100" w:type="dxa"/>
            <w:vAlign w:val="bottom"/>
            <w:tcBorders>
              <w:bottom w:val="single" w:sz="8" w:color="auto"/>
            </w:tcBorders>
          </w:tcPr>
          <w:p>
            <w:pPr>
              <w:spacing w:after="0"/>
              <w:rPr>
                <w:sz w:val="12"/>
                <w:szCs w:val="12"/>
                <w:color w:val="auto"/>
              </w:rPr>
            </w:pPr>
          </w:p>
        </w:tc>
      </w:tr>
      <w:tr>
        <w:trPr>
          <w:trHeight w:val="142"/>
        </w:trPr>
        <w:tc>
          <w:tcPr>
            <w:tcW w:w="37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Average Balance</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5"/>
              </w:rPr>
              <w:t>Interest Income / Expense</w:t>
            </w:r>
          </w:p>
        </w:tc>
        <w:tc>
          <w:tcPr>
            <w:tcW w:w="1180" w:type="dxa"/>
            <w:vAlign w:val="bottom"/>
            <w:tcBorders>
              <w:bottom w:val="single" w:sz="8" w:color="auto"/>
            </w:tcBorders>
            <w:gridSpan w:val="2"/>
          </w:tcPr>
          <w:p>
            <w:pPr>
              <w:ind w:left="240"/>
              <w:spacing w:after="0"/>
              <w:rPr>
                <w:sz w:val="20"/>
                <w:szCs w:val="20"/>
                <w:color w:val="auto"/>
              </w:rPr>
            </w:pPr>
            <w:r>
              <w:rPr>
                <w:rFonts w:ascii="Arial" w:cs="Arial" w:eastAsia="Arial" w:hAnsi="Arial"/>
                <w:sz w:val="10"/>
                <w:szCs w:val="10"/>
                <w:b w:val="1"/>
                <w:bCs w:val="1"/>
                <w:color w:val="auto"/>
              </w:rPr>
              <w:t>Avg Yield / Cost</w:t>
            </w: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Average Balance</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7"/>
              </w:rPr>
              <w:t>Interest Income / Expense</w:t>
            </w:r>
          </w:p>
        </w:tc>
        <w:tc>
          <w:tcPr>
            <w:tcW w:w="1100" w:type="dxa"/>
            <w:vAlign w:val="bottom"/>
            <w:tcBorders>
              <w:bottom w:val="single" w:sz="8" w:color="auto"/>
            </w:tcBorders>
          </w:tcPr>
          <w:p>
            <w:pPr>
              <w:jc w:val="right"/>
              <w:ind w:right="86"/>
              <w:spacing w:after="0"/>
              <w:rPr>
                <w:sz w:val="20"/>
                <w:szCs w:val="20"/>
                <w:color w:val="auto"/>
              </w:rPr>
            </w:pPr>
            <w:r>
              <w:rPr>
                <w:rFonts w:ascii="Arial" w:cs="Arial" w:eastAsia="Arial" w:hAnsi="Arial"/>
                <w:sz w:val="10"/>
                <w:szCs w:val="10"/>
                <w:b w:val="1"/>
                <w:bCs w:val="1"/>
                <w:color w:val="auto"/>
              </w:rPr>
              <w:t>Avg Yield / Cost</w:t>
            </w:r>
          </w:p>
        </w:tc>
      </w:tr>
      <w:tr>
        <w:trPr>
          <w:trHeight w:val="140"/>
        </w:trPr>
        <w:tc>
          <w:tcPr>
            <w:tcW w:w="3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0" w:type="dxa"/>
            <w:vAlign w:val="bottom"/>
            <w:gridSpan w:val="5"/>
          </w:tcPr>
          <w:p>
            <w:pPr>
              <w:jc w:val="center"/>
              <w:ind w:right="320"/>
              <w:spacing w:after="0"/>
              <w:rPr>
                <w:sz w:val="20"/>
                <w:szCs w:val="20"/>
                <w:color w:val="auto"/>
              </w:rPr>
            </w:pPr>
            <w:r>
              <w:rPr>
                <w:rFonts w:ascii="Arial" w:cs="Arial" w:eastAsia="Arial" w:hAnsi="Arial"/>
                <w:sz w:val="10"/>
                <w:szCs w:val="10"/>
                <w:i w:val="1"/>
                <w:iCs w:val="1"/>
                <w:color w:val="auto"/>
                <w:w w:val="94"/>
              </w:rPr>
              <w:t>(Dollars in thousands)</w:t>
            </w: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0"/>
        </w:trPr>
        <w:tc>
          <w:tcPr>
            <w:tcW w:w="3700" w:type="dxa"/>
            <w:vAlign w:val="bottom"/>
            <w:shd w:val="clear" w:color="auto" w:fill="CCEEFF"/>
          </w:tcPr>
          <w:p>
            <w:pPr>
              <w:spacing w:after="0"/>
              <w:rPr>
                <w:sz w:val="20"/>
                <w:szCs w:val="20"/>
                <w:color w:val="auto"/>
              </w:rPr>
            </w:pPr>
            <w:r>
              <w:rPr>
                <w:rFonts w:ascii="Arial" w:cs="Arial" w:eastAsia="Arial" w:hAnsi="Arial"/>
                <w:sz w:val="10"/>
                <w:szCs w:val="10"/>
                <w:color w:val="auto"/>
              </w:rPr>
              <w:t>ASSETS</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7"/>
        </w:trPr>
        <w:tc>
          <w:tcPr>
            <w:tcW w:w="3700" w:type="dxa"/>
            <w:vAlign w:val="bottom"/>
          </w:tcPr>
          <w:p>
            <w:pPr>
              <w:ind w:left="80"/>
              <w:spacing w:after="0"/>
              <w:rPr>
                <w:sz w:val="20"/>
                <w:szCs w:val="20"/>
                <w:color w:val="auto"/>
              </w:rPr>
            </w:pPr>
            <w:r>
              <w:rPr>
                <w:rFonts w:ascii="Arial" w:cs="Arial" w:eastAsia="Arial" w:hAnsi="Arial"/>
                <w:sz w:val="10"/>
                <w:szCs w:val="10"/>
                <w:color w:val="auto"/>
              </w:rPr>
              <w:t>Interest-earning cash</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132,851</w:t>
            </w:r>
          </w:p>
        </w:tc>
        <w:tc>
          <w:tcPr>
            <w:tcW w:w="10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3,646</w:t>
            </w:r>
          </w:p>
        </w:tc>
        <w:tc>
          <w:tcPr>
            <w:tcW w:w="1100" w:type="dxa"/>
            <w:vAlign w:val="bottom"/>
          </w:tcPr>
          <w:p>
            <w:pPr>
              <w:jc w:val="right"/>
              <w:spacing w:after="0"/>
              <w:rPr>
                <w:sz w:val="20"/>
                <w:szCs w:val="20"/>
                <w:color w:val="auto"/>
              </w:rPr>
            </w:pPr>
            <w:r>
              <w:rPr>
                <w:rFonts w:ascii="Arial" w:cs="Arial" w:eastAsia="Arial" w:hAnsi="Arial"/>
                <w:sz w:val="11"/>
                <w:szCs w:val="11"/>
                <w:color w:val="auto"/>
              </w:rPr>
              <w:t>3.67 %</w:t>
            </w:r>
          </w:p>
        </w:tc>
        <w:tc>
          <w:tcPr>
            <w:tcW w:w="8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52,920</w:t>
            </w:r>
          </w:p>
        </w:tc>
        <w:tc>
          <w:tcPr>
            <w:tcW w:w="8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1,734</w:t>
            </w:r>
          </w:p>
        </w:tc>
        <w:tc>
          <w:tcPr>
            <w:tcW w:w="1100" w:type="dxa"/>
            <w:vAlign w:val="bottom"/>
          </w:tcPr>
          <w:p>
            <w:pPr>
              <w:jc w:val="right"/>
              <w:spacing w:after="0"/>
              <w:rPr>
                <w:sz w:val="20"/>
                <w:szCs w:val="20"/>
                <w:color w:val="auto"/>
              </w:rPr>
            </w:pPr>
            <w:r>
              <w:rPr>
                <w:rFonts w:ascii="Arial" w:cs="Arial" w:eastAsia="Arial" w:hAnsi="Arial"/>
                <w:sz w:val="11"/>
                <w:szCs w:val="11"/>
                <w:color w:val="auto"/>
              </w:rPr>
              <w:t>4.38 %</w:t>
            </w:r>
          </w:p>
        </w:tc>
      </w:tr>
      <w:tr>
        <w:trPr>
          <w:trHeight w:val="167"/>
        </w:trPr>
        <w:tc>
          <w:tcPr>
            <w:tcW w:w="3700" w:type="dxa"/>
            <w:vAlign w:val="bottom"/>
            <w:shd w:val="clear" w:color="auto" w:fill="CCEEFF"/>
          </w:tcPr>
          <w:p>
            <w:pPr>
              <w:ind w:left="80"/>
              <w:spacing w:after="0"/>
              <w:rPr>
                <w:sz w:val="20"/>
                <w:szCs w:val="20"/>
                <w:color w:val="auto"/>
              </w:rPr>
            </w:pPr>
            <w:r>
              <w:rPr>
                <w:rFonts w:ascii="Arial" w:cs="Arial" w:eastAsia="Arial" w:hAnsi="Arial"/>
                <w:sz w:val="10"/>
                <w:szCs w:val="10"/>
                <w:color w:val="auto"/>
              </w:rPr>
              <w:t xml:space="preserve">Investment securities </w:t>
            </w:r>
            <w:r>
              <w:rPr>
                <w:rFonts w:ascii="Arial" w:cs="Arial" w:eastAsia="Arial" w:hAnsi="Arial"/>
                <w:sz w:val="12"/>
                <w:szCs w:val="12"/>
                <w:color w:val="auto"/>
                <w:vertAlign w:val="superscript"/>
              </w:rPr>
              <w:t>(1)</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388,635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10,802</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3.72 %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381,978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9,819</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3.44 %</w:t>
            </w:r>
          </w:p>
        </w:tc>
      </w:tr>
      <w:tr>
        <w:trPr>
          <w:trHeight w:val="162"/>
        </w:trPr>
        <w:tc>
          <w:tcPr>
            <w:tcW w:w="3700" w:type="dxa"/>
            <w:vAlign w:val="bottom"/>
            <w:tcBorders>
              <w:bottom w:val="single" w:sz="8" w:color="CCEEFF"/>
            </w:tcBorders>
          </w:tcPr>
          <w:p>
            <w:pPr>
              <w:ind w:left="80"/>
              <w:spacing w:after="0" w:line="162" w:lineRule="exact"/>
              <w:rPr>
                <w:sz w:val="20"/>
                <w:szCs w:val="20"/>
                <w:color w:val="auto"/>
              </w:rPr>
            </w:pPr>
            <w:r>
              <w:rPr>
                <w:rFonts w:ascii="Arial" w:cs="Arial" w:eastAsia="Arial" w:hAnsi="Arial"/>
                <w:sz w:val="18"/>
                <w:szCs w:val="18"/>
                <w:color w:val="auto"/>
                <w:vertAlign w:val="subscript"/>
              </w:rPr>
              <w:t>Loans</w:t>
            </w:r>
            <w:r>
              <w:rPr>
                <w:rFonts w:ascii="Arial" w:cs="Arial" w:eastAsia="Arial" w:hAnsi="Arial"/>
                <w:sz w:val="6"/>
                <w:szCs w:val="6"/>
                <w:color w:val="auto"/>
              </w:rPr>
              <w:t xml:space="preserve"> (1) (2)</w:t>
            </w: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2,237,480</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116,423</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6.96 %</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2,096,800</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112,354</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7.16 %</w:t>
            </w:r>
          </w:p>
        </w:tc>
      </w:tr>
      <w:tr>
        <w:trPr>
          <w:trHeight w:val="151"/>
        </w:trPr>
        <w:tc>
          <w:tcPr>
            <w:tcW w:w="3700" w:type="dxa"/>
            <w:vAlign w:val="bottom"/>
            <w:shd w:val="clear" w:color="auto" w:fill="CCEEFF"/>
          </w:tcPr>
          <w:p>
            <w:pPr>
              <w:ind w:left="80"/>
              <w:spacing w:after="0"/>
              <w:rPr>
                <w:sz w:val="20"/>
                <w:szCs w:val="20"/>
                <w:color w:val="auto"/>
              </w:rPr>
            </w:pPr>
            <w:r>
              <w:rPr>
                <w:rFonts w:ascii="Arial" w:cs="Arial" w:eastAsia="Arial" w:hAnsi="Arial"/>
                <w:sz w:val="10"/>
                <w:szCs w:val="10"/>
                <w:color w:val="auto"/>
              </w:rPr>
              <w:t xml:space="preserve">Total interest-earning assets </w:t>
            </w:r>
            <w:r>
              <w:rPr>
                <w:rFonts w:ascii="Arial" w:cs="Arial" w:eastAsia="Arial" w:hAnsi="Arial"/>
                <w:sz w:val="12"/>
                <w:szCs w:val="12"/>
                <w:color w:val="auto"/>
                <w:vertAlign w:val="superscript"/>
              </w:rPr>
              <w:t>(1)</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2,758,966</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130,871</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6.34 %</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2,531,698</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123,907</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6.54 %</w:t>
            </w:r>
          </w:p>
        </w:tc>
      </w:tr>
      <w:tr>
        <w:trPr>
          <w:trHeight w:val="137"/>
        </w:trPr>
        <w:tc>
          <w:tcPr>
            <w:tcW w:w="370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Noninterest-earning assets</w:t>
            </w:r>
          </w:p>
        </w:tc>
        <w:tc>
          <w:tcPr>
            <w:tcW w:w="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162,760</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1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162,157</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1100" w:type="dxa"/>
            <w:vAlign w:val="bottom"/>
            <w:tcBorders>
              <w:bottom w:val="single" w:sz="8" w:color="CCEEFF"/>
            </w:tcBorders>
          </w:tcPr>
          <w:p>
            <w:pPr>
              <w:spacing w:after="0"/>
              <w:rPr>
                <w:sz w:val="11"/>
                <w:szCs w:val="11"/>
                <w:color w:val="auto"/>
              </w:rPr>
            </w:pPr>
          </w:p>
        </w:tc>
      </w:tr>
      <w:tr>
        <w:trPr>
          <w:trHeight w:val="173"/>
        </w:trPr>
        <w:tc>
          <w:tcPr>
            <w:tcW w:w="3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Total assets</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2,921,726</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2,693,855</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26"/>
        </w:trPr>
        <w:tc>
          <w:tcPr>
            <w:tcW w:w="3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53"/>
        </w:trPr>
        <w:tc>
          <w:tcPr>
            <w:tcW w:w="3700" w:type="dxa"/>
            <w:vAlign w:val="bottom"/>
            <w:shd w:val="clear" w:color="auto" w:fill="CCEEFF"/>
          </w:tcPr>
          <w:p>
            <w:pPr>
              <w:spacing w:after="0"/>
              <w:rPr>
                <w:sz w:val="20"/>
                <w:szCs w:val="20"/>
                <w:color w:val="auto"/>
              </w:rPr>
            </w:pPr>
            <w:r>
              <w:rPr>
                <w:rFonts w:ascii="Arial" w:cs="Arial" w:eastAsia="Arial" w:hAnsi="Arial"/>
                <w:sz w:val="10"/>
                <w:szCs w:val="10"/>
                <w:color w:val="auto"/>
              </w:rPr>
              <w:t>LIABILITIES</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7"/>
        </w:trPr>
        <w:tc>
          <w:tcPr>
            <w:tcW w:w="3700" w:type="dxa"/>
            <w:vAlign w:val="bottom"/>
          </w:tcPr>
          <w:p>
            <w:pPr>
              <w:ind w:left="80"/>
              <w:spacing w:after="0"/>
              <w:rPr>
                <w:sz w:val="20"/>
                <w:szCs w:val="20"/>
                <w:color w:val="auto"/>
              </w:rPr>
            </w:pPr>
            <w:r>
              <w:rPr>
                <w:rFonts w:ascii="Arial" w:cs="Arial" w:eastAsia="Arial" w:hAnsi="Arial"/>
                <w:sz w:val="10"/>
                <w:szCs w:val="10"/>
                <w:color w:val="auto"/>
              </w:rPr>
              <w:t>Interest-bearing demand deposits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247,187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1,750</w:t>
            </w:r>
          </w:p>
        </w:tc>
        <w:tc>
          <w:tcPr>
            <w:tcW w:w="1100" w:type="dxa"/>
            <w:vAlign w:val="bottom"/>
          </w:tcPr>
          <w:p>
            <w:pPr>
              <w:jc w:val="right"/>
              <w:spacing w:after="0"/>
              <w:rPr>
                <w:sz w:val="20"/>
                <w:szCs w:val="20"/>
                <w:color w:val="auto"/>
              </w:rPr>
            </w:pPr>
            <w:r>
              <w:rPr>
                <w:rFonts w:ascii="Arial" w:cs="Arial" w:eastAsia="Arial" w:hAnsi="Arial"/>
                <w:sz w:val="11"/>
                <w:szCs w:val="11"/>
                <w:color w:val="auto"/>
              </w:rPr>
              <w:t>0.95 %</w:t>
            </w:r>
          </w:p>
        </w:tc>
        <w:tc>
          <w:tcPr>
            <w:tcW w:w="8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251,187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1,951</w:t>
            </w:r>
          </w:p>
        </w:tc>
        <w:tc>
          <w:tcPr>
            <w:tcW w:w="1100" w:type="dxa"/>
            <w:vAlign w:val="bottom"/>
          </w:tcPr>
          <w:p>
            <w:pPr>
              <w:jc w:val="right"/>
              <w:spacing w:after="0"/>
              <w:rPr>
                <w:sz w:val="20"/>
                <w:szCs w:val="20"/>
                <w:color w:val="auto"/>
              </w:rPr>
            </w:pPr>
            <w:r>
              <w:rPr>
                <w:rFonts w:ascii="Arial" w:cs="Arial" w:eastAsia="Arial" w:hAnsi="Arial"/>
                <w:sz w:val="11"/>
                <w:szCs w:val="11"/>
                <w:color w:val="auto"/>
              </w:rPr>
              <w:t>1.04 %</w:t>
            </w:r>
          </w:p>
        </w:tc>
      </w:tr>
      <w:tr>
        <w:trPr>
          <w:trHeight w:val="167"/>
        </w:trPr>
        <w:tc>
          <w:tcPr>
            <w:tcW w:w="3700" w:type="dxa"/>
            <w:vAlign w:val="bottom"/>
            <w:shd w:val="clear" w:color="auto" w:fill="CCEEFF"/>
          </w:tcPr>
          <w:p>
            <w:pPr>
              <w:ind w:left="80"/>
              <w:spacing w:after="0"/>
              <w:rPr>
                <w:sz w:val="20"/>
                <w:szCs w:val="20"/>
                <w:color w:val="auto"/>
              </w:rPr>
            </w:pPr>
            <w:r>
              <w:rPr>
                <w:rFonts w:ascii="Arial" w:cs="Arial" w:eastAsia="Arial" w:hAnsi="Arial"/>
                <w:sz w:val="10"/>
                <w:szCs w:val="10"/>
                <w:color w:val="auto"/>
              </w:rPr>
              <w:t>Money market deposits</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967,283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18,549</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736,528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15,660</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2.84 %</w:t>
            </w:r>
          </w:p>
        </w:tc>
      </w:tr>
      <w:tr>
        <w:trPr>
          <w:trHeight w:val="157"/>
        </w:trPr>
        <w:tc>
          <w:tcPr>
            <w:tcW w:w="3700" w:type="dxa"/>
            <w:vAlign w:val="bottom"/>
          </w:tcPr>
          <w:p>
            <w:pPr>
              <w:ind w:left="80"/>
              <w:spacing w:after="0"/>
              <w:rPr>
                <w:sz w:val="20"/>
                <w:szCs w:val="20"/>
                <w:color w:val="auto"/>
              </w:rPr>
            </w:pPr>
            <w:r>
              <w:rPr>
                <w:rFonts w:ascii="Arial" w:cs="Arial" w:eastAsia="Arial" w:hAnsi="Arial"/>
                <w:sz w:val="10"/>
                <w:szCs w:val="10"/>
                <w:color w:val="auto"/>
              </w:rPr>
              <w:t>Savings deposits</w:t>
            </w:r>
          </w:p>
        </w:tc>
        <w:tc>
          <w:tcPr>
            <w:tcW w:w="1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166,115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1,017</w:t>
            </w:r>
          </w:p>
        </w:tc>
        <w:tc>
          <w:tcPr>
            <w:tcW w:w="1100" w:type="dxa"/>
            <w:vAlign w:val="bottom"/>
          </w:tcPr>
          <w:p>
            <w:pPr>
              <w:jc w:val="right"/>
              <w:spacing w:after="0"/>
              <w:rPr>
                <w:sz w:val="20"/>
                <w:szCs w:val="20"/>
                <w:color w:val="auto"/>
              </w:rPr>
            </w:pPr>
            <w:r>
              <w:rPr>
                <w:rFonts w:ascii="Arial" w:cs="Arial" w:eastAsia="Arial" w:hAnsi="Arial"/>
                <w:sz w:val="11"/>
                <w:szCs w:val="11"/>
                <w:color w:val="auto"/>
              </w:rPr>
              <w:t>0.82 %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174,706</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1,127</w:t>
            </w:r>
          </w:p>
        </w:tc>
        <w:tc>
          <w:tcPr>
            <w:tcW w:w="1100" w:type="dxa"/>
            <w:vAlign w:val="bottom"/>
          </w:tcPr>
          <w:p>
            <w:pPr>
              <w:jc w:val="right"/>
              <w:spacing w:after="0"/>
              <w:rPr>
                <w:sz w:val="20"/>
                <w:szCs w:val="20"/>
                <w:color w:val="auto"/>
              </w:rPr>
            </w:pPr>
            <w:r>
              <w:rPr>
                <w:rFonts w:ascii="Arial" w:cs="Arial" w:eastAsia="Arial" w:hAnsi="Arial"/>
                <w:sz w:val="11"/>
                <w:szCs w:val="11"/>
                <w:color w:val="auto"/>
              </w:rPr>
              <w:t>0.86 %</w:t>
            </w:r>
          </w:p>
        </w:tc>
      </w:tr>
      <w:tr>
        <w:trPr>
          <w:trHeight w:val="168"/>
        </w:trPr>
        <w:tc>
          <w:tcPr>
            <w:tcW w:w="3700" w:type="dxa"/>
            <w:vAlign w:val="bottom"/>
            <w:shd w:val="clear" w:color="auto" w:fill="CCEEFF"/>
          </w:tcPr>
          <w:p>
            <w:pPr>
              <w:ind w:left="80"/>
              <w:spacing w:after="0"/>
              <w:rPr>
                <w:sz w:val="20"/>
                <w:szCs w:val="20"/>
                <w:color w:val="auto"/>
              </w:rPr>
            </w:pPr>
            <w:r>
              <w:rPr>
                <w:rFonts w:ascii="Arial" w:cs="Arial" w:eastAsia="Arial" w:hAnsi="Arial"/>
                <w:sz w:val="10"/>
                <w:szCs w:val="10"/>
                <w:color w:val="auto"/>
              </w:rPr>
              <w:t>Time certificates of deposits</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140,819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2,590</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2.46 %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159,616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3,699</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3.10 %</w:t>
            </w:r>
          </w:p>
        </w:tc>
      </w:tr>
      <w:tr>
        <w:trPr>
          <w:trHeight w:val="156"/>
        </w:trPr>
        <w:tc>
          <w:tcPr>
            <w:tcW w:w="3700" w:type="dxa"/>
            <w:vAlign w:val="bottom"/>
          </w:tcPr>
          <w:p>
            <w:pPr>
              <w:ind w:left="80"/>
              <w:spacing w:after="0"/>
              <w:rPr>
                <w:sz w:val="20"/>
                <w:szCs w:val="20"/>
                <w:color w:val="auto"/>
              </w:rPr>
            </w:pPr>
            <w:r>
              <w:rPr>
                <w:rFonts w:ascii="Arial" w:cs="Arial" w:eastAsia="Arial" w:hAnsi="Arial"/>
                <w:sz w:val="10"/>
                <w:szCs w:val="10"/>
                <w:color w:val="auto"/>
              </w:rPr>
              <w:t>Short-term borrowings</w:t>
            </w:r>
          </w:p>
        </w:tc>
        <w:tc>
          <w:tcPr>
            <w:tcW w:w="18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180" w:type="dxa"/>
            <w:vAlign w:val="bottom"/>
          </w:tcPr>
          <w:p>
            <w:pPr>
              <w:spacing w:after="0"/>
              <w:rPr>
                <w:sz w:val="13"/>
                <w:szCs w:val="13"/>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12,317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412</w:t>
            </w:r>
          </w:p>
        </w:tc>
        <w:tc>
          <w:tcPr>
            <w:tcW w:w="1100" w:type="dxa"/>
            <w:vAlign w:val="bottom"/>
          </w:tcPr>
          <w:p>
            <w:pPr>
              <w:jc w:val="right"/>
              <w:spacing w:after="0"/>
              <w:rPr>
                <w:sz w:val="20"/>
                <w:szCs w:val="20"/>
                <w:color w:val="auto"/>
              </w:rPr>
            </w:pPr>
            <w:r>
              <w:rPr>
                <w:rFonts w:ascii="Arial" w:cs="Arial" w:eastAsia="Arial" w:hAnsi="Arial"/>
                <w:sz w:val="11"/>
                <w:szCs w:val="11"/>
                <w:color w:val="auto"/>
              </w:rPr>
              <w:t>4.47 %</w:t>
            </w:r>
          </w:p>
        </w:tc>
      </w:tr>
      <w:tr>
        <w:trPr>
          <w:trHeight w:val="162"/>
        </w:trPr>
        <w:tc>
          <w:tcPr>
            <w:tcW w:w="3700" w:type="dxa"/>
            <w:vAlign w:val="bottom"/>
            <w:shd w:val="clear" w:color="auto" w:fill="CCEEFF"/>
          </w:tcPr>
          <w:p>
            <w:pPr>
              <w:ind w:left="80"/>
              <w:spacing w:after="0"/>
              <w:rPr>
                <w:sz w:val="20"/>
                <w:szCs w:val="20"/>
                <w:color w:val="auto"/>
              </w:rPr>
            </w:pPr>
            <w:r>
              <w:rPr>
                <w:rFonts w:ascii="Arial" w:cs="Arial" w:eastAsia="Arial" w:hAnsi="Arial"/>
                <w:sz w:val="10"/>
                <w:szCs w:val="10"/>
                <w:color w:val="auto"/>
              </w:rPr>
              <w:t>Subordinated debt</w:t>
            </w: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5,175</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2,155</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55.68 %</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11,293</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860</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10.18 %</w:t>
            </w:r>
          </w:p>
        </w:tc>
      </w:tr>
      <w:tr>
        <w:trPr>
          <w:trHeight w:val="151"/>
        </w:trPr>
        <w:tc>
          <w:tcPr>
            <w:tcW w:w="370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Total interest-bearing liabilities</w:t>
            </w: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1,526,579</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26,061</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2.28 %</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1,345,647</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23,709</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2.36 %</w:t>
            </w:r>
          </w:p>
        </w:tc>
      </w:tr>
      <w:tr>
        <w:trPr>
          <w:trHeight w:val="157"/>
        </w:trPr>
        <w:tc>
          <w:tcPr>
            <w:tcW w:w="3700" w:type="dxa"/>
            <w:vAlign w:val="bottom"/>
            <w:shd w:val="clear" w:color="auto" w:fill="CCEEFF"/>
          </w:tcPr>
          <w:p>
            <w:pPr>
              <w:ind w:left="80"/>
              <w:spacing w:after="0"/>
              <w:rPr>
                <w:sz w:val="20"/>
                <w:szCs w:val="20"/>
                <w:color w:val="auto"/>
              </w:rPr>
            </w:pPr>
            <w:r>
              <w:rPr>
                <w:rFonts w:ascii="Arial" w:cs="Arial" w:eastAsia="Arial" w:hAnsi="Arial"/>
                <w:sz w:val="10"/>
                <w:szCs w:val="10"/>
                <w:color w:val="auto"/>
              </w:rPr>
              <w:t>Noninterest-bearing deposits</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975,278</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972,525</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7"/>
        </w:trPr>
        <w:tc>
          <w:tcPr>
            <w:tcW w:w="370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Noninterest-bearing liabilities</w:t>
            </w: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24,580</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22,776</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r>
      <w:tr>
        <w:trPr>
          <w:trHeight w:val="151"/>
        </w:trPr>
        <w:tc>
          <w:tcPr>
            <w:tcW w:w="37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Total liabilities</w:t>
            </w:r>
          </w:p>
        </w:tc>
        <w:tc>
          <w:tcPr>
            <w:tcW w:w="1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2,526,437</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2,340,948</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29"/>
        </w:trPr>
        <w:tc>
          <w:tcPr>
            <w:tcW w:w="3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57"/>
        </w:trPr>
        <w:tc>
          <w:tcPr>
            <w:tcW w:w="3700" w:type="dxa"/>
            <w:vAlign w:val="bottom"/>
            <w:shd w:val="clear" w:color="auto" w:fill="CCEEFF"/>
          </w:tcPr>
          <w:p>
            <w:pPr>
              <w:spacing w:after="0"/>
              <w:rPr>
                <w:sz w:val="20"/>
                <w:szCs w:val="20"/>
                <w:color w:val="auto"/>
              </w:rPr>
            </w:pPr>
            <w:r>
              <w:rPr>
                <w:rFonts w:ascii="Arial" w:cs="Arial" w:eastAsia="Arial" w:hAnsi="Arial"/>
                <w:sz w:val="10"/>
                <w:szCs w:val="10"/>
                <w:color w:val="auto"/>
              </w:rPr>
              <w:t>EQUITY</w:t>
            </w:r>
          </w:p>
        </w:tc>
        <w:tc>
          <w:tcPr>
            <w:tcW w:w="1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395,289</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352,907</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3"/>
        </w:trPr>
        <w:tc>
          <w:tcPr>
            <w:tcW w:w="370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Total liabilities and equity</w:t>
            </w: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2,921,726</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2,693,855</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r>
      <w:tr>
        <w:trPr>
          <w:trHeight w:val="126"/>
        </w:trPr>
        <w:tc>
          <w:tcPr>
            <w:tcW w:w="3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178"/>
        </w:trPr>
        <w:tc>
          <w:tcPr>
            <w:tcW w:w="370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 xml:space="preserve">Taxable equivalent net interest income and margin </w:t>
            </w:r>
            <w:r>
              <w:rPr>
                <w:rFonts w:ascii="Arial" w:cs="Arial" w:eastAsia="Arial" w:hAnsi="Arial"/>
                <w:sz w:val="12"/>
                <w:szCs w:val="12"/>
                <w:color w:val="auto"/>
                <w:vertAlign w:val="superscript"/>
              </w:rPr>
              <w:t>(1)</w:t>
            </w:r>
          </w:p>
        </w:tc>
        <w:tc>
          <w:tcPr>
            <w:tcW w:w="18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104,810</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5.08 %</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100,198</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5.29 %</w:t>
            </w:r>
          </w:p>
        </w:tc>
      </w:tr>
      <w:tr>
        <w:trPr>
          <w:trHeight w:val="182"/>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GAAP net interest income</w:t>
            </w: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104,330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5.06 %</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99,786</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5.27 %</w:t>
            </w:r>
          </w:p>
        </w:tc>
      </w:tr>
      <w:tr>
        <w:trPr>
          <w:trHeight w:val="129"/>
        </w:trPr>
        <w:tc>
          <w:tcPr>
            <w:tcW w:w="3700" w:type="dxa"/>
            <w:vAlign w:val="bottom"/>
          </w:tcPr>
          <w:p>
            <w:pPr>
              <w:spacing w:after="0"/>
              <w:rPr>
                <w:sz w:val="20"/>
                <w:szCs w:val="20"/>
                <w:color w:val="auto"/>
              </w:rPr>
            </w:pPr>
            <w:r>
              <w:rPr>
                <w:rFonts w:ascii="Arial" w:cs="Arial" w:eastAsia="Arial" w:hAnsi="Arial"/>
                <w:sz w:val="10"/>
                <w:szCs w:val="10"/>
                <w:color w:val="auto"/>
              </w:rPr>
              <w:t>Cost of funds</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1.39 %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1.37 %</w:t>
            </w:r>
          </w:p>
        </w:tc>
      </w:tr>
    </w:tbl>
    <w:p>
      <w:pPr>
        <w:spacing w:after="0" w:line="64" w:lineRule="exact"/>
        <w:rPr>
          <w:sz w:val="20"/>
          <w:szCs w:val="20"/>
          <w:color w:val="auto"/>
        </w:rPr>
      </w:pPr>
    </w:p>
    <w:p>
      <w:pPr>
        <w:ind w:left="8" w:hanging="8"/>
        <w:spacing w:after="0" w:line="268" w:lineRule="auto"/>
        <w:tabs>
          <w:tab w:leader="none" w:pos="136" w:val="left"/>
        </w:tabs>
        <w:numPr>
          <w:ilvl w:val="0"/>
          <w:numId w:val="8"/>
        </w:numPr>
        <w:rPr>
          <w:rFonts w:ascii="Arial" w:cs="Arial" w:eastAsia="Arial" w:hAnsi="Arial"/>
          <w:sz w:val="8"/>
          <w:szCs w:val="8"/>
          <w:color w:val="auto"/>
        </w:rPr>
      </w:pPr>
      <w:r>
        <w:rPr>
          <w:rFonts w:ascii="Arial" w:cs="Arial" w:eastAsia="Arial" w:hAnsi="Arial"/>
          <w:sz w:val="8"/>
          <w:szCs w:val="8"/>
          <w:color w:val="auto"/>
        </w:rPr>
        <w:t>Interest income on investment securities, interest income on loans, net interest income and net interest margin are presented here on a taxable equivalent basis, using the statutory federal income tax rate of 21 percent, and are non-GAAP financial measures. Please see "Non-GAAP Financial Measures" below.</w:t>
      </w:r>
    </w:p>
    <w:p>
      <w:pPr>
        <w:spacing w:after="0" w:line="103" w:lineRule="exact"/>
        <w:rPr>
          <w:rFonts w:ascii="Arial" w:cs="Arial" w:eastAsia="Arial" w:hAnsi="Arial"/>
          <w:sz w:val="8"/>
          <w:szCs w:val="8"/>
          <w:color w:val="auto"/>
        </w:rPr>
      </w:pPr>
    </w:p>
    <w:p>
      <w:pPr>
        <w:ind w:left="128" w:hanging="128"/>
        <w:spacing w:after="0"/>
        <w:tabs>
          <w:tab w:leader="none" w:pos="128" w:val="left"/>
        </w:tabs>
        <w:numPr>
          <w:ilvl w:val="0"/>
          <w:numId w:val="8"/>
        </w:numPr>
        <w:rPr>
          <w:rFonts w:ascii="Arial" w:cs="Arial" w:eastAsia="Arial" w:hAnsi="Arial"/>
          <w:sz w:val="8"/>
          <w:szCs w:val="8"/>
          <w:color w:val="auto"/>
        </w:rPr>
      </w:pPr>
      <w:r>
        <w:rPr>
          <w:rFonts w:ascii="Arial" w:cs="Arial" w:eastAsia="Arial" w:hAnsi="Arial"/>
          <w:sz w:val="8"/>
          <w:szCs w:val="8"/>
          <w:color w:val="auto"/>
        </w:rPr>
        <w:t>Average balances on loans outstanding include nonaccrual loans, unamortized net deferred loan fees/costs and unaccreted purchase discount on acquired loans. The amortization of net loan origination fees and accretion of purchase discount on acquired loans are included in interest income on loans.</w:t>
      </w:r>
    </w:p>
    <w:p>
      <w:pPr>
        <w:spacing w:after="0" w:line="207"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auto"/>
        </w:rPr>
        <w:t>Noninterest Income</w:t>
      </w:r>
    </w:p>
    <w:p>
      <w:pPr>
        <w:spacing w:after="0" w:line="166" w:lineRule="exact"/>
        <w:rPr>
          <w:sz w:val="20"/>
          <w:szCs w:val="20"/>
          <w:color w:val="auto"/>
        </w:rPr>
      </w:pPr>
    </w:p>
    <w:p>
      <w:pPr>
        <w:jc w:val="both"/>
        <w:ind w:left="8"/>
        <w:spacing w:after="0" w:line="257" w:lineRule="auto"/>
        <w:rPr>
          <w:sz w:val="20"/>
          <w:szCs w:val="20"/>
          <w:color w:val="auto"/>
        </w:rPr>
      </w:pPr>
      <w:r>
        <w:rPr>
          <w:rFonts w:ascii="Arial" w:cs="Arial" w:eastAsia="Arial" w:hAnsi="Arial"/>
          <w:sz w:val="13"/>
          <w:szCs w:val="13"/>
          <w:color w:val="auto"/>
        </w:rPr>
        <w:t>Noninterest income for the third quarter of 2026 was $1.3 million, compared to $1.2 million for the second quarter of 2026. The quarter-over-quarter increase is largely attributed to a $153 thousand special dividend that was received on our holdings of FHLB of San Francisco stock during the third quarter.</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auto"/>
        </w:rPr>
        <w:t>Noninterest Expense</w:t>
      </w:r>
    </w:p>
    <w:p>
      <w:pPr>
        <w:spacing w:after="0" w:line="166" w:lineRule="exact"/>
        <w:rPr>
          <w:sz w:val="20"/>
          <w:szCs w:val="20"/>
          <w:color w:val="auto"/>
        </w:rPr>
      </w:pPr>
    </w:p>
    <w:p>
      <w:pPr>
        <w:jc w:val="both"/>
        <w:ind w:left="8"/>
        <w:spacing w:after="0" w:line="248" w:lineRule="auto"/>
        <w:rPr>
          <w:sz w:val="20"/>
          <w:szCs w:val="20"/>
          <w:color w:val="auto"/>
        </w:rPr>
      </w:pPr>
      <w:r>
        <w:rPr>
          <w:rFonts w:ascii="Arial" w:cs="Arial" w:eastAsia="Arial" w:hAnsi="Arial"/>
          <w:sz w:val="13"/>
          <w:szCs w:val="13"/>
          <w:color w:val="auto"/>
        </w:rPr>
        <w:t>Noninterest expense for the third quarter of 2026 was $16.3 million, compared to $15.9 million for the second quarter of 2026. The quarter-over-quarter increase is largely attributed to increases in data and item processing costs, professional fees and various other miscellaneous expenses, partially offset by a decrease in salaries and employee benefits. The increase in data and item processing costs during the third quarter is primarily associated with the absence of one-time credits received from our core system processor that were utilized in the second quarter. The increase in professional fees can be attributed to expenses incurred related to Bancorp becoming an SEC registrant and a Nasdaq-listed company in the third quarter, as well as various other expenses associated with regular third-party credit reviews and other consulting fees. The decline in salaries and employee benefits during the quarter was primarily associated with the absence of expense associated with annual director stock grants that occurred in the second</w:t>
      </w:r>
    </w:p>
    <w:p>
      <w:pPr>
        <w:spacing w:after="0" w:line="369"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308"/>
          </w:cols>
          <w:pgMar w:left="292" w:top="709" w:right="299" w:bottom="1440" w:gutter="0" w:footer="0" w:header="0"/>
        </w:sectPr>
      </w:pPr>
    </w:p>
    <w:bookmarkStart w:id="9" w:name="page10"/>
    <w:bookmarkEnd w:id="9"/>
    <w:p>
      <w:pPr>
        <w:spacing w:after="0"/>
        <w:rPr>
          <w:sz w:val="20"/>
          <w:szCs w:val="20"/>
          <w:color w:val="auto"/>
        </w:rPr>
      </w:pPr>
      <w:r>
        <w:rPr>
          <w:rFonts w:ascii="Arial" w:cs="Arial" w:eastAsia="Arial" w:hAnsi="Arial"/>
          <w:sz w:val="13"/>
          <w:szCs w:val="13"/>
          <w:color w:val="auto"/>
        </w:rPr>
        <w:t>quarter, as well as increased compensation deferrals attributed to successful loan originations during the third quarter.</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Investment Portfolio</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2"/>
          <w:szCs w:val="12"/>
          <w:color w:val="auto"/>
        </w:rPr>
        <w:t>Securities issued by U.S. government-sponsored agencies, U.S. Treasury bonds and Small Business Administration ("SBA") securities accounted for 52%, 26% and 1%, respectively, of the investment portfolio as of September 30, 2026. These securities carry explicit or implicit credit guarantees from the U.S. government and thus present minimal credit or liquidity risk. Municipal bonds, corporate bonds and private-label collateralized mortgage obligations/asset-backed instruments represent 17%, 2% and 2% of the carrying value of the portfolio, respectively, as of September 30, 2026.</w:t>
      </w:r>
    </w:p>
    <w:p>
      <w:pPr>
        <w:spacing w:after="0" w:line="7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investment portfolio totaled $377.9 million at September 30, 2026, compared to $388.1 million at June 30, 2026. The decrease in the investment portfolio from June 30, 2026, was primarily due to an increase in unrealized losses on AFS securities of $14.8 million, stemming from a rise in intermediate-term interest rates during the period, and maturities, paydowns and sales during the third quarter totaling $16.0 million, partially offset by purchases of U.S. Treasury securities, totaling $19.9 million. The investment portfolio had an effective duration of 3.8 years as of September 30, 2026, and June 30, 2026.</w:t>
      </w:r>
    </w:p>
    <w:p>
      <w:pPr>
        <w:spacing w:after="0" w:line="100" w:lineRule="exact"/>
        <w:rPr>
          <w:sz w:val="20"/>
          <w:szCs w:val="20"/>
          <w:color w:val="auto"/>
        </w:rPr>
      </w:pPr>
    </w:p>
    <w:p>
      <w:pPr>
        <w:ind w:right="1420"/>
        <w:spacing w:after="0" w:line="433" w:lineRule="auto"/>
        <w:rPr>
          <w:sz w:val="20"/>
          <w:szCs w:val="20"/>
          <w:color w:val="auto"/>
        </w:rPr>
      </w:pPr>
      <w:r>
        <w:rPr>
          <w:rFonts w:ascii="Arial" w:cs="Arial" w:eastAsia="Arial" w:hAnsi="Arial"/>
          <w:sz w:val="13"/>
          <w:szCs w:val="13"/>
          <w:color w:val="auto"/>
        </w:rPr>
        <w:t xml:space="preserve">Net unrealized losses on AFS securities were $23.8 million, or $16.8 million after-tax, at September 30, 2026, compared to $9.0 million, or $6.3 million after-tax, at June 30, 2026. </w:t>
      </w:r>
      <w:r>
        <w:rPr>
          <w:rFonts w:ascii="Arial" w:cs="Arial" w:eastAsia="Arial" w:hAnsi="Arial"/>
          <w:sz w:val="13"/>
          <w:szCs w:val="13"/>
          <w:b w:val="1"/>
          <w:bCs w:val="1"/>
          <w:u w:val="single" w:color="auto"/>
          <w:color w:val="auto"/>
        </w:rPr>
        <w:t>Loans and Asset Quality</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Total loans, net of unaccreted purchase discount and deferred fees and costs, increased $65.6 million, or 2.9%, from June 30, 2026. Loan growth during the third quarter of 2026 was largely attributed to increases in revolving commercial lines, which grew by $66.4 million during the quarter. This increase was primarily attributed to agriculture-related lending by the Bank's San Luis Obispo County team. New loan commitments originated during the third quarter were $199.1 million, driven by $86.8 million in new commercial and industrial (“C&amp;I”) commitments and $57.9 million in new commercial real estate (“CRE”) loan commitments.</w:t>
      </w:r>
    </w:p>
    <w:p>
      <w:pPr>
        <w:spacing w:after="0" w:line="14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Nonaccrual loans of $11.9 million accounted for 0.51% of total loans at September 30, 2026, compared to $11.4 million, or 0.50%, of total loans at June 30, 2026. At September 30, 2026, nonaccrual loans included a $5.8 million hotel relationship, consisting of two loans, of which one has an SBA guarantee of approximately $3.7 million. Other nonaccrual loans at September 30, 2026, consisted primarily of SBA-related credits totaling $4.7 million that contained SBA guarantees of approximately $4.0 million, and two CRE loans totaling approximately $1.4 million. At September 30, 2026, government guarantees of $7.8 million reduced net credit exposure on nonaccrual loans to approximately $4.1 million.</w:t>
      </w:r>
    </w:p>
    <w:p>
      <w:pPr>
        <w:spacing w:after="0" w:line="139" w:lineRule="exact"/>
        <w:rPr>
          <w:sz w:val="20"/>
          <w:szCs w:val="20"/>
          <w:color w:val="auto"/>
        </w:rPr>
      </w:pPr>
    </w:p>
    <w:p>
      <w:pPr>
        <w:jc w:val="both"/>
        <w:ind w:right="20"/>
        <w:spacing w:after="0" w:line="280" w:lineRule="auto"/>
        <w:rPr>
          <w:sz w:val="20"/>
          <w:szCs w:val="20"/>
          <w:color w:val="auto"/>
        </w:rPr>
      </w:pPr>
      <w:r>
        <w:rPr>
          <w:rFonts w:ascii="Arial" w:cs="Arial" w:eastAsia="Arial" w:hAnsi="Arial"/>
          <w:sz w:val="13"/>
          <w:szCs w:val="13"/>
          <w:color w:val="auto"/>
        </w:rPr>
        <w:t>Accruing loans past due 30-89 days totaled $2.3 million at September 30, 2026, an increase from $1.2 million at June 30, 2026. The balance of accruing loans past due 30-89 days primarily reflects a $1.9 million substandard CRE loan that is secured by a mixed-use property. There were no loans more than 90 days past due still accruing as of September 30, 2026, or June 30, 2026.</w:t>
      </w:r>
    </w:p>
    <w:p>
      <w:pPr>
        <w:spacing w:after="0" w:line="12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ACL on loans was $36.6 million at September 30, 2026, or 1.57%, of total loans, compared to $35.1 million at June 30, 2026, or 1.55%, of total loans. The increase in the ACL during the third quarter is attributed to several factors including organic loan growth and changes in portfolio mix which increased the ACL by approximately $1.5 million, and a $1.2 million increase in the ACL for certain individually evaluated loans. These increases were partially offset by lower pooled reserve rates reflecting improvements in the economic forecast as well as improvements in certain qualitative factors used in the ACL model. The provision for credit losses on loans was $275 thousand for the third quarter of 2026, compared to $1.4 million in the second quarter of 2026. The quarter-over-quarter decrease in the provision is largely attributed to the factors just discussed in addition to the full recovery, upon payoff, of a previously substantially charged-off loan in the amount of $1.2 million that occurred in the third quarter.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300"/>
          </w:cols>
          <w:pgMar w:left="300" w:top="670" w:right="299" w:bottom="1440" w:gutter="0" w:footer="0" w:header="0"/>
        </w:sectPr>
      </w:pPr>
    </w:p>
    <w:bookmarkStart w:id="10" w:name="page11"/>
    <w:bookmarkEnd w:id="10"/>
    <w:p>
      <w:pPr>
        <w:spacing w:after="0"/>
        <w:rPr>
          <w:sz w:val="20"/>
          <w:szCs w:val="20"/>
          <w:color w:val="auto"/>
        </w:rPr>
      </w:pPr>
      <w:r>
        <w:rPr>
          <w:rFonts w:ascii="Arial" w:cs="Arial" w:eastAsia="Arial" w:hAnsi="Arial"/>
          <w:sz w:val="13"/>
          <w:szCs w:val="13"/>
          <w:color w:val="auto"/>
        </w:rPr>
        <w:t>The Bank recorded net recoveries for the third quarter of 2026 of $1.2 million. Net recoveries for the quarter were largely attributed to the full recovery previously discussed.</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ACL for unfunded commitments, recorded in other liabilities, was $2.6 million, or 0.38% of unfunded credit commitments at September 30, 2026, compared to $2.9 million, or 0.42%, at June 30, 2026. The decrease in the ACL for unfunded commitments reflected, in part, higher utilization of commercial lines, which reduced unfunded commitments, and lower reserve rates consistent with improvements in the qualitative factors used to determine the ACL for funded loans. Total unfunded commitments decreased by approximately $6.3 million during the third quarter to $675.0 million as of September 30, 2026.</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composition of the Bank’s loan portfolio as of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0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5"/>
              </w:rPr>
              <w:t>As of</w:t>
            </w: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Borders>
              <w:bottom w:val="single" w:sz="8" w:color="auto"/>
            </w:tcBorders>
            <w:gridSpan w:val="3"/>
          </w:tcPr>
          <w:p>
            <w:pPr>
              <w:ind w:left="1140"/>
              <w:spacing w:after="0"/>
              <w:rPr>
                <w:sz w:val="20"/>
                <w:szCs w:val="20"/>
                <w:color w:val="auto"/>
              </w:rPr>
            </w:pPr>
            <w:r>
              <w:rPr>
                <w:rFonts w:ascii="Arial" w:cs="Arial" w:eastAsia="Arial" w:hAnsi="Arial"/>
                <w:sz w:val="10"/>
                <w:szCs w:val="10"/>
                <w:b w:val="1"/>
                <w:bCs w:val="1"/>
                <w:color w:val="auto"/>
                <w:w w:val="98"/>
              </w:rPr>
              <w:t>Change % vs.</w:t>
            </w:r>
          </w:p>
        </w:tc>
        <w:tc>
          <w:tcPr>
            <w:tcW w:w="1100" w:type="dxa"/>
            <w:vAlign w:val="bottom"/>
            <w:tcBorders>
              <w:bottom w:val="single" w:sz="8" w:color="auto"/>
            </w:tcBorders>
          </w:tcPr>
          <w:p>
            <w:pPr>
              <w:spacing w:after="0"/>
              <w:rPr>
                <w:sz w:val="11"/>
                <w:szCs w:val="11"/>
                <w:color w:val="auto"/>
              </w:rPr>
            </w:pPr>
          </w:p>
        </w:tc>
      </w:tr>
      <w:tr>
        <w:trPr>
          <w:trHeight w:val="137"/>
        </w:trPr>
        <w:tc>
          <w:tcPr>
            <w:tcW w:w="4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ind w:left="140"/>
              <w:spacing w:after="0"/>
              <w:rPr>
                <w:sz w:val="20"/>
                <w:szCs w:val="20"/>
                <w:color w:val="auto"/>
              </w:rPr>
            </w:pPr>
            <w:r>
              <w:rPr>
                <w:rFonts w:ascii="Arial" w:cs="Arial" w:eastAsia="Arial" w:hAnsi="Arial"/>
                <w:sz w:val="10"/>
                <w:szCs w:val="10"/>
                <w:b w:val="1"/>
                <w:bCs w:val="1"/>
                <w:color w:val="auto"/>
              </w:rPr>
              <w:t>September 30,</w:t>
            </w:r>
          </w:p>
        </w:tc>
        <w:tc>
          <w:tcPr>
            <w:tcW w:w="80" w:type="dxa"/>
            <w:vAlign w:val="bottom"/>
          </w:tcPr>
          <w:p>
            <w:pPr>
              <w:spacing w:after="0"/>
              <w:rPr>
                <w:sz w:val="11"/>
                <w:szCs w:val="11"/>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June 30,</w:t>
            </w:r>
          </w:p>
        </w:tc>
        <w:tc>
          <w:tcPr>
            <w:tcW w:w="220" w:type="dxa"/>
            <w:vAlign w:val="bottom"/>
          </w:tcPr>
          <w:p>
            <w:pPr>
              <w:spacing w:after="0"/>
              <w:rPr>
                <w:sz w:val="11"/>
                <w:szCs w:val="11"/>
                <w:color w:val="auto"/>
              </w:rPr>
            </w:pPr>
          </w:p>
        </w:tc>
        <w:tc>
          <w:tcPr>
            <w:tcW w:w="1280" w:type="dxa"/>
            <w:vAlign w:val="bottom"/>
            <w:gridSpan w:val="2"/>
          </w:tcPr>
          <w:p>
            <w:pPr>
              <w:ind w:left="140"/>
              <w:spacing w:after="0"/>
              <w:rPr>
                <w:sz w:val="20"/>
                <w:szCs w:val="20"/>
                <w:color w:val="auto"/>
              </w:rPr>
            </w:pPr>
            <w:r>
              <w:rPr>
                <w:rFonts w:ascii="Arial" w:cs="Arial" w:eastAsia="Arial" w:hAnsi="Arial"/>
                <w:sz w:val="10"/>
                <w:szCs w:val="10"/>
                <w:b w:val="1"/>
                <w:bCs w:val="1"/>
                <w:color w:val="auto"/>
              </w:rPr>
              <w:t>September 30,</w:t>
            </w:r>
          </w:p>
        </w:tc>
        <w:tc>
          <w:tcPr>
            <w:tcW w:w="1800" w:type="dxa"/>
            <w:vAlign w:val="bottom"/>
            <w:gridSpan w:val="3"/>
          </w:tcPr>
          <w:p>
            <w:pPr>
              <w:ind w:left="460"/>
              <w:spacing w:after="0"/>
              <w:rPr>
                <w:sz w:val="20"/>
                <w:szCs w:val="20"/>
                <w:color w:val="auto"/>
              </w:rPr>
            </w:pPr>
            <w:r>
              <w:rPr>
                <w:rFonts w:ascii="Arial" w:cs="Arial" w:eastAsia="Arial" w:hAnsi="Arial"/>
                <w:sz w:val="10"/>
                <w:szCs w:val="10"/>
                <w:b w:val="1"/>
                <w:bCs w:val="1"/>
                <w:color w:val="auto"/>
              </w:rPr>
              <w:t>June 30,</w:t>
            </w:r>
          </w:p>
        </w:tc>
        <w:tc>
          <w:tcPr>
            <w:tcW w:w="1100" w:type="dxa"/>
            <w:vAlign w:val="bottom"/>
          </w:tcPr>
          <w:p>
            <w:pPr>
              <w:jc w:val="right"/>
              <w:ind w:right="367"/>
              <w:spacing w:after="0"/>
              <w:rPr>
                <w:sz w:val="20"/>
                <w:szCs w:val="20"/>
                <w:color w:val="auto"/>
              </w:rPr>
            </w:pPr>
            <w:r>
              <w:rPr>
                <w:rFonts w:ascii="Arial" w:cs="Arial" w:eastAsia="Arial" w:hAnsi="Arial"/>
                <w:sz w:val="10"/>
                <w:szCs w:val="10"/>
                <w:b w:val="1"/>
                <w:bCs w:val="1"/>
                <w:color w:val="auto"/>
                <w:w w:val="96"/>
              </w:rPr>
              <w:t>September 30,</w:t>
            </w:r>
          </w:p>
        </w:tc>
      </w:tr>
      <w:tr>
        <w:trPr>
          <w:trHeight w:val="158"/>
        </w:trPr>
        <w:tc>
          <w:tcPr>
            <w:tcW w:w="40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47"/>
              <w:spacing w:after="0"/>
              <w:rPr>
                <w:sz w:val="20"/>
                <w:szCs w:val="20"/>
                <w:color w:val="auto"/>
              </w:rPr>
            </w:pPr>
            <w:r>
              <w:rPr>
                <w:rFonts w:ascii="Arial" w:cs="Arial" w:eastAsia="Arial" w:hAnsi="Arial"/>
                <w:sz w:val="10"/>
                <w:szCs w:val="10"/>
                <w:b w:val="1"/>
                <w:bCs w:val="1"/>
                <w:color w:val="auto"/>
              </w:rPr>
              <w:t>2026</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7"/>
              <w:spacing w:after="0"/>
              <w:rPr>
                <w:sz w:val="20"/>
                <w:szCs w:val="20"/>
                <w:color w:val="auto"/>
              </w:rPr>
            </w:pPr>
            <w:r>
              <w:rPr>
                <w:rFonts w:ascii="Arial" w:cs="Arial" w:eastAsia="Arial" w:hAnsi="Arial"/>
                <w:sz w:val="10"/>
                <w:szCs w:val="10"/>
                <w:b w:val="1"/>
                <w:bCs w:val="1"/>
                <w:color w:val="auto"/>
                <w:w w:val="98"/>
              </w:rPr>
              <w:t>2026</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47"/>
              <w:spacing w:after="0"/>
              <w:rPr>
                <w:sz w:val="20"/>
                <w:szCs w:val="20"/>
                <w:color w:val="auto"/>
              </w:rPr>
            </w:pPr>
            <w:r>
              <w:rPr>
                <w:rFonts w:ascii="Arial" w:cs="Arial" w:eastAsia="Arial" w:hAnsi="Arial"/>
                <w:sz w:val="10"/>
                <w:szCs w:val="10"/>
                <w:b w:val="1"/>
                <w:bCs w:val="1"/>
                <w:color w:val="auto"/>
              </w:rPr>
              <w:t>2025</w:t>
            </w:r>
          </w:p>
        </w:tc>
        <w:tc>
          <w:tcPr>
            <w:tcW w:w="100" w:type="dxa"/>
            <w:vAlign w:val="bottom"/>
          </w:tcPr>
          <w:p>
            <w:pPr>
              <w:spacing w:after="0"/>
              <w:rPr>
                <w:sz w:val="13"/>
                <w:szCs w:val="13"/>
                <w:color w:val="auto"/>
              </w:rPr>
            </w:pPr>
          </w:p>
        </w:tc>
        <w:tc>
          <w:tcPr>
            <w:tcW w:w="1300" w:type="dxa"/>
            <w:vAlign w:val="bottom"/>
            <w:tcBorders>
              <w:bottom w:val="single" w:sz="8" w:color="auto"/>
            </w:tcBorders>
          </w:tcPr>
          <w:p>
            <w:pPr>
              <w:jc w:val="right"/>
              <w:ind w:right="487"/>
              <w:spacing w:after="0"/>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87"/>
              <w:spacing w:after="0"/>
              <w:rPr>
                <w:sz w:val="20"/>
                <w:szCs w:val="20"/>
                <w:color w:val="auto"/>
              </w:rPr>
            </w:pPr>
            <w:r>
              <w:rPr>
                <w:rFonts w:ascii="Arial" w:cs="Arial" w:eastAsia="Arial" w:hAnsi="Arial"/>
                <w:sz w:val="10"/>
                <w:szCs w:val="10"/>
                <w:b w:val="1"/>
                <w:bCs w:val="1"/>
                <w:color w:val="auto"/>
              </w:rPr>
              <w:t>2025</w:t>
            </w:r>
          </w:p>
        </w:tc>
      </w:tr>
      <w:tr>
        <w:trPr>
          <w:trHeight w:val="151"/>
        </w:trPr>
        <w:tc>
          <w:tcPr>
            <w:tcW w:w="4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1"/>
                <w:szCs w:val="11"/>
                <w:i w:val="1"/>
                <w:iCs w:val="1"/>
                <w:color w:val="auto"/>
                <w:w w:val="97"/>
              </w:rPr>
              <w:t>(Dollars in thousands)</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7"/>
        </w:trPr>
        <w:tc>
          <w:tcPr>
            <w:tcW w:w="4060" w:type="dxa"/>
            <w:vAlign w:val="bottom"/>
            <w:shd w:val="clear" w:color="auto" w:fill="CCEEFF"/>
          </w:tcPr>
          <w:p>
            <w:pPr>
              <w:spacing w:after="0"/>
              <w:rPr>
                <w:sz w:val="20"/>
                <w:szCs w:val="20"/>
                <w:color w:val="auto"/>
              </w:rPr>
            </w:pPr>
            <w:r>
              <w:rPr>
                <w:rFonts w:ascii="Arial" w:cs="Arial" w:eastAsia="Arial" w:hAnsi="Arial"/>
                <w:sz w:val="11"/>
                <w:szCs w:val="11"/>
                <w:color w:val="auto"/>
              </w:rPr>
              <w:t>SBA and business and industry loans</w:t>
            </w: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162,956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168,665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177,493</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w:t>
            </w:r>
          </w:p>
        </w:tc>
      </w:tr>
      <w:tr>
        <w:trPr>
          <w:trHeight w:val="157"/>
        </w:trPr>
        <w:tc>
          <w:tcPr>
            <w:tcW w:w="4060" w:type="dxa"/>
            <w:vAlign w:val="bottom"/>
          </w:tcPr>
          <w:p>
            <w:pPr>
              <w:spacing w:after="0"/>
              <w:rPr>
                <w:sz w:val="20"/>
                <w:szCs w:val="20"/>
                <w:color w:val="auto"/>
              </w:rPr>
            </w:pPr>
            <w:r>
              <w:rPr>
                <w:rFonts w:ascii="Arial" w:cs="Arial" w:eastAsia="Arial" w:hAnsi="Arial"/>
                <w:sz w:val="11"/>
                <w:szCs w:val="11"/>
                <w:color w:val="auto"/>
              </w:rPr>
              <w:t>Commercial term loans</w:t>
            </w:r>
          </w:p>
        </w:tc>
        <w:tc>
          <w:tcPr>
            <w:tcW w:w="240" w:type="dxa"/>
            <w:vAlign w:val="bottom"/>
          </w:tcPr>
          <w:p>
            <w:pPr>
              <w:spacing w:after="0"/>
              <w:rPr>
                <w:sz w:val="13"/>
                <w:szCs w:val="13"/>
                <w:color w:val="auto"/>
              </w:rPr>
            </w:pPr>
          </w:p>
        </w:tc>
        <w:tc>
          <w:tcPr>
            <w:tcW w:w="1180" w:type="dxa"/>
            <w:vAlign w:val="bottom"/>
          </w:tcPr>
          <w:p>
            <w:pPr>
              <w:jc w:val="right"/>
              <w:ind w:right="7"/>
              <w:spacing w:after="0"/>
              <w:rPr>
                <w:sz w:val="20"/>
                <w:szCs w:val="20"/>
                <w:color w:val="auto"/>
              </w:rPr>
            </w:pPr>
            <w:r>
              <w:rPr>
                <w:rFonts w:ascii="Arial" w:cs="Arial" w:eastAsia="Arial" w:hAnsi="Arial"/>
                <w:sz w:val="11"/>
                <w:szCs w:val="11"/>
                <w:color w:val="auto"/>
              </w:rPr>
              <w:t>129,720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128,542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123,755</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0.9 %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4.8 %</w:t>
            </w:r>
          </w:p>
        </w:tc>
      </w:tr>
      <w:tr>
        <w:trPr>
          <w:trHeight w:val="168"/>
        </w:trPr>
        <w:tc>
          <w:tcPr>
            <w:tcW w:w="4060" w:type="dxa"/>
            <w:vAlign w:val="bottom"/>
            <w:shd w:val="clear" w:color="auto" w:fill="CCEEFF"/>
          </w:tcPr>
          <w:p>
            <w:pPr>
              <w:spacing w:after="0"/>
              <w:rPr>
                <w:sz w:val="20"/>
                <w:szCs w:val="20"/>
                <w:color w:val="auto"/>
              </w:rPr>
            </w:pPr>
            <w:r>
              <w:rPr>
                <w:rFonts w:ascii="Arial" w:cs="Arial" w:eastAsia="Arial" w:hAnsi="Arial"/>
                <w:sz w:val="11"/>
                <w:szCs w:val="11"/>
                <w:color w:val="auto"/>
              </w:rPr>
              <w:t>Revolving commercial lines</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282,692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216,275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168,864</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30.7 %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67.4 %</w:t>
            </w:r>
          </w:p>
        </w:tc>
      </w:tr>
      <w:tr>
        <w:trPr>
          <w:trHeight w:val="156"/>
        </w:trPr>
        <w:tc>
          <w:tcPr>
            <w:tcW w:w="4060" w:type="dxa"/>
            <w:vAlign w:val="bottom"/>
          </w:tcPr>
          <w:p>
            <w:pPr>
              <w:spacing w:after="0"/>
              <w:rPr>
                <w:sz w:val="20"/>
                <w:szCs w:val="20"/>
                <w:color w:val="auto"/>
              </w:rPr>
            </w:pPr>
            <w:r>
              <w:rPr>
                <w:rFonts w:ascii="Arial" w:cs="Arial" w:eastAsia="Arial" w:hAnsi="Arial"/>
                <w:sz w:val="11"/>
                <w:szCs w:val="11"/>
                <w:color w:val="auto"/>
              </w:rPr>
              <w:t>Asset-based lines of credit</w:t>
            </w:r>
          </w:p>
        </w:tc>
        <w:tc>
          <w:tcPr>
            <w:tcW w:w="240" w:type="dxa"/>
            <w:vAlign w:val="bottom"/>
          </w:tcPr>
          <w:p>
            <w:pPr>
              <w:spacing w:after="0"/>
              <w:rPr>
                <w:sz w:val="13"/>
                <w:szCs w:val="13"/>
                <w:color w:val="auto"/>
              </w:rPr>
            </w:pPr>
          </w:p>
        </w:tc>
        <w:tc>
          <w:tcPr>
            <w:tcW w:w="1180" w:type="dxa"/>
            <w:vAlign w:val="bottom"/>
          </w:tcPr>
          <w:p>
            <w:pPr>
              <w:jc w:val="right"/>
              <w:ind w:right="7"/>
              <w:spacing w:after="0"/>
              <w:rPr>
                <w:sz w:val="20"/>
                <w:szCs w:val="20"/>
                <w:color w:val="auto"/>
              </w:rPr>
            </w:pPr>
            <w:r>
              <w:rPr>
                <w:rFonts w:ascii="Arial" w:cs="Arial" w:eastAsia="Arial" w:hAnsi="Arial"/>
                <w:sz w:val="11"/>
                <w:szCs w:val="11"/>
                <w:color w:val="auto"/>
              </w:rPr>
              <w:t>54,343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49,926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45,117</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8.8 %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20.4 %</w:t>
            </w:r>
          </w:p>
        </w:tc>
      </w:tr>
      <w:tr>
        <w:trPr>
          <w:trHeight w:val="168"/>
        </w:trPr>
        <w:tc>
          <w:tcPr>
            <w:tcW w:w="4060" w:type="dxa"/>
            <w:vAlign w:val="bottom"/>
            <w:shd w:val="clear" w:color="auto" w:fill="CCEEFF"/>
          </w:tcPr>
          <w:p>
            <w:pPr>
              <w:spacing w:after="0"/>
              <w:rPr>
                <w:sz w:val="20"/>
                <w:szCs w:val="20"/>
                <w:color w:val="auto"/>
              </w:rPr>
            </w:pPr>
            <w:r>
              <w:rPr>
                <w:rFonts w:ascii="Arial" w:cs="Arial" w:eastAsia="Arial" w:hAnsi="Arial"/>
                <w:sz w:val="11"/>
                <w:szCs w:val="11"/>
                <w:color w:val="auto"/>
              </w:rPr>
              <w:t>Construction loans</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254,825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262,513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246,774</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3.3 %</w:t>
            </w:r>
          </w:p>
        </w:tc>
      </w:tr>
      <w:tr>
        <w:trPr>
          <w:trHeight w:val="157"/>
        </w:trPr>
        <w:tc>
          <w:tcPr>
            <w:tcW w:w="4060" w:type="dxa"/>
            <w:vAlign w:val="bottom"/>
          </w:tcPr>
          <w:p>
            <w:pPr>
              <w:spacing w:after="0"/>
              <w:rPr>
                <w:sz w:val="20"/>
                <w:szCs w:val="20"/>
                <w:color w:val="auto"/>
              </w:rPr>
            </w:pPr>
            <w:r>
              <w:rPr>
                <w:rFonts w:ascii="Arial" w:cs="Arial" w:eastAsia="Arial" w:hAnsi="Arial"/>
                <w:sz w:val="11"/>
                <w:szCs w:val="11"/>
                <w:color w:val="auto"/>
              </w:rPr>
              <w:t>Commercial real estate loans</w:t>
            </w:r>
          </w:p>
        </w:tc>
        <w:tc>
          <w:tcPr>
            <w:tcW w:w="240" w:type="dxa"/>
            <w:vAlign w:val="bottom"/>
          </w:tcPr>
          <w:p>
            <w:pPr>
              <w:spacing w:after="0"/>
              <w:rPr>
                <w:sz w:val="13"/>
                <w:szCs w:val="13"/>
                <w:color w:val="auto"/>
              </w:rPr>
            </w:pPr>
          </w:p>
        </w:tc>
        <w:tc>
          <w:tcPr>
            <w:tcW w:w="1180" w:type="dxa"/>
            <w:vAlign w:val="bottom"/>
          </w:tcPr>
          <w:p>
            <w:pPr>
              <w:jc w:val="right"/>
              <w:ind w:right="7"/>
              <w:spacing w:after="0"/>
              <w:rPr>
                <w:sz w:val="20"/>
                <w:szCs w:val="20"/>
                <w:color w:val="auto"/>
              </w:rPr>
            </w:pPr>
            <w:r>
              <w:rPr>
                <w:rFonts w:ascii="Arial" w:cs="Arial" w:eastAsia="Arial" w:hAnsi="Arial"/>
                <w:sz w:val="11"/>
                <w:szCs w:val="11"/>
                <w:color w:val="auto"/>
              </w:rPr>
              <w:t>1,420,402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1,413,772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1,345,230</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0.5 %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5.6 %</w:t>
            </w:r>
          </w:p>
        </w:tc>
      </w:tr>
      <w:tr>
        <w:trPr>
          <w:trHeight w:val="167"/>
        </w:trPr>
        <w:tc>
          <w:tcPr>
            <w:tcW w:w="4060" w:type="dxa"/>
            <w:vAlign w:val="bottom"/>
            <w:shd w:val="clear" w:color="auto" w:fill="CCEEFF"/>
          </w:tcPr>
          <w:p>
            <w:pPr>
              <w:spacing w:after="0"/>
              <w:rPr>
                <w:sz w:val="20"/>
                <w:szCs w:val="20"/>
                <w:color w:val="auto"/>
              </w:rPr>
            </w:pPr>
            <w:r>
              <w:rPr>
                <w:rFonts w:ascii="Arial" w:cs="Arial" w:eastAsia="Arial" w:hAnsi="Arial"/>
                <w:sz w:val="11"/>
                <w:szCs w:val="11"/>
                <w:color w:val="auto"/>
              </w:rPr>
              <w:t>Home equity lines of credit</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37,246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36,956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37,239</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r>
      <w:tr>
        <w:trPr>
          <w:trHeight w:val="157"/>
        </w:trPr>
        <w:tc>
          <w:tcPr>
            <w:tcW w:w="4060" w:type="dxa"/>
            <w:vAlign w:val="bottom"/>
          </w:tcPr>
          <w:p>
            <w:pPr>
              <w:spacing w:after="0"/>
              <w:rPr>
                <w:sz w:val="20"/>
                <w:szCs w:val="20"/>
                <w:color w:val="auto"/>
              </w:rPr>
            </w:pPr>
            <w:r>
              <w:rPr>
                <w:rFonts w:ascii="Arial" w:cs="Arial" w:eastAsia="Arial" w:hAnsi="Arial"/>
                <w:sz w:val="11"/>
                <w:szCs w:val="11"/>
                <w:color w:val="auto"/>
              </w:rPr>
              <w:t>Consumer and other loans</w:t>
            </w:r>
          </w:p>
        </w:tc>
        <w:tc>
          <w:tcPr>
            <w:tcW w:w="240" w:type="dxa"/>
            <w:vAlign w:val="bottom"/>
          </w:tcPr>
          <w:p>
            <w:pPr>
              <w:spacing w:after="0"/>
              <w:rPr>
                <w:sz w:val="13"/>
                <w:szCs w:val="13"/>
                <w:color w:val="auto"/>
              </w:rPr>
            </w:pPr>
          </w:p>
        </w:tc>
        <w:tc>
          <w:tcPr>
            <w:tcW w:w="1180" w:type="dxa"/>
            <w:vAlign w:val="bottom"/>
          </w:tcPr>
          <w:p>
            <w:pPr>
              <w:jc w:val="right"/>
              <w:ind w:right="7"/>
              <w:spacing w:after="0"/>
              <w:rPr>
                <w:sz w:val="20"/>
                <w:szCs w:val="20"/>
                <w:color w:val="auto"/>
              </w:rPr>
            </w:pPr>
            <w:r>
              <w:rPr>
                <w:rFonts w:ascii="Arial" w:cs="Arial" w:eastAsia="Arial" w:hAnsi="Arial"/>
                <w:sz w:val="11"/>
                <w:szCs w:val="11"/>
                <w:color w:val="auto"/>
              </w:rPr>
              <w:t>6,263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8,198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3,596</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(23.6)%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74.2 %</w:t>
            </w:r>
          </w:p>
        </w:tc>
      </w:tr>
      <w:tr>
        <w:trPr>
          <w:trHeight w:val="162"/>
        </w:trPr>
        <w:tc>
          <w:tcPr>
            <w:tcW w:w="4060" w:type="dxa"/>
            <w:vAlign w:val="bottom"/>
            <w:shd w:val="clear" w:color="auto" w:fill="CCEEFF"/>
          </w:tcPr>
          <w:p>
            <w:pPr>
              <w:spacing w:after="0"/>
              <w:rPr>
                <w:sz w:val="20"/>
                <w:szCs w:val="20"/>
                <w:color w:val="auto"/>
              </w:rPr>
            </w:pPr>
            <w:r>
              <w:rPr>
                <w:rFonts w:ascii="Arial" w:cs="Arial" w:eastAsia="Arial" w:hAnsi="Arial"/>
                <w:sz w:val="11"/>
                <w:szCs w:val="11"/>
                <w:color w:val="auto"/>
              </w:rPr>
              <w:t>Deferred loan expenses, net of fees</w:t>
            </w: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2,610</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2,281</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2,160</w:t>
            </w: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14.4 %</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20.8 %</w:t>
            </w:r>
          </w:p>
        </w:tc>
      </w:tr>
      <w:tr>
        <w:trPr>
          <w:trHeight w:val="151"/>
        </w:trPr>
        <w:tc>
          <w:tcPr>
            <w:tcW w:w="4060" w:type="dxa"/>
            <w:vAlign w:val="bottom"/>
          </w:tcPr>
          <w:p>
            <w:pPr>
              <w:ind w:left="80"/>
              <w:spacing w:after="0"/>
              <w:rPr>
                <w:sz w:val="20"/>
                <w:szCs w:val="20"/>
                <w:color w:val="auto"/>
              </w:rPr>
            </w:pPr>
            <w:r>
              <w:rPr>
                <w:rFonts w:ascii="Arial" w:cs="Arial" w:eastAsia="Arial" w:hAnsi="Arial"/>
                <w:sz w:val="11"/>
                <w:szCs w:val="11"/>
                <w:color w:val="auto"/>
              </w:rPr>
              <w:t>Total loans, net of deferred fees and costs</w:t>
            </w:r>
          </w:p>
        </w:tc>
        <w:tc>
          <w:tcPr>
            <w:tcW w:w="240" w:type="dxa"/>
            <w:vAlign w:val="bottom"/>
          </w:tcPr>
          <w:p>
            <w:pPr>
              <w:spacing w:after="0"/>
              <w:rPr>
                <w:sz w:val="13"/>
                <w:szCs w:val="13"/>
                <w:color w:val="auto"/>
              </w:rPr>
            </w:pPr>
          </w:p>
        </w:tc>
        <w:tc>
          <w:tcPr>
            <w:tcW w:w="1180" w:type="dxa"/>
            <w:vAlign w:val="bottom"/>
          </w:tcPr>
          <w:p>
            <w:pPr>
              <w:jc w:val="right"/>
              <w:ind w:right="7"/>
              <w:spacing w:after="0"/>
              <w:rPr>
                <w:sz w:val="20"/>
                <w:szCs w:val="20"/>
                <w:color w:val="auto"/>
              </w:rPr>
            </w:pPr>
            <w:r>
              <w:rPr>
                <w:rFonts w:ascii="Arial" w:cs="Arial" w:eastAsia="Arial" w:hAnsi="Arial"/>
                <w:sz w:val="11"/>
                <w:szCs w:val="11"/>
                <w:color w:val="auto"/>
              </w:rPr>
              <w:t>2,351,057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2,287,128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2,150,228</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2.8 %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9.3 %</w:t>
            </w:r>
          </w:p>
        </w:tc>
      </w:tr>
      <w:tr>
        <w:trPr>
          <w:trHeight w:val="162"/>
        </w:trPr>
        <w:tc>
          <w:tcPr>
            <w:tcW w:w="4060" w:type="dxa"/>
            <w:vAlign w:val="bottom"/>
            <w:shd w:val="clear" w:color="auto" w:fill="CCEEFF"/>
          </w:tcPr>
          <w:p>
            <w:pPr>
              <w:ind w:left="80"/>
              <w:spacing w:after="0"/>
              <w:rPr>
                <w:sz w:val="20"/>
                <w:szCs w:val="20"/>
                <w:color w:val="auto"/>
              </w:rPr>
            </w:pPr>
            <w:r>
              <w:rPr>
                <w:rFonts w:ascii="Arial" w:cs="Arial" w:eastAsia="Arial" w:hAnsi="Arial"/>
                <w:sz w:val="11"/>
                <w:szCs w:val="11"/>
                <w:color w:val="auto"/>
              </w:rPr>
              <w:t>Purchase discount on acquired loans</w:t>
            </w: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(14,059)</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(15,722)</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(23,050)</w:t>
            </w: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(39.0)%</w:t>
            </w:r>
          </w:p>
        </w:tc>
      </w:tr>
      <w:tr>
        <w:trPr>
          <w:trHeight w:val="157"/>
        </w:trPr>
        <w:tc>
          <w:tcPr>
            <w:tcW w:w="4060" w:type="dxa"/>
            <w:vAlign w:val="bottom"/>
          </w:tcPr>
          <w:p>
            <w:pPr>
              <w:ind w:left="140"/>
              <w:spacing w:after="0"/>
              <w:rPr>
                <w:sz w:val="20"/>
                <w:szCs w:val="20"/>
                <w:color w:val="auto"/>
              </w:rPr>
            </w:pPr>
            <w:r>
              <w:rPr>
                <w:rFonts w:ascii="Arial" w:cs="Arial" w:eastAsia="Arial" w:hAnsi="Arial"/>
                <w:sz w:val="11"/>
                <w:szCs w:val="11"/>
                <w:color w:val="auto"/>
              </w:rPr>
              <w:t>Total loans, net of unaccreted purchase discount</w:t>
            </w:r>
          </w:p>
        </w:tc>
        <w:tc>
          <w:tcPr>
            <w:tcW w:w="2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2,336,998</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2,271,406</w:t>
            </w:r>
          </w:p>
        </w:tc>
        <w:tc>
          <w:tcPr>
            <w:tcW w:w="120" w:type="dxa"/>
            <w:vAlign w:val="bottom"/>
          </w:tcPr>
          <w:p>
            <w:pPr>
              <w:spacing w:after="0"/>
              <w:rPr>
                <w:sz w:val="13"/>
                <w:szCs w:val="13"/>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2,127,178</w:t>
            </w:r>
          </w:p>
        </w:tc>
        <w:tc>
          <w:tcPr>
            <w:tcW w:w="100" w:type="dxa"/>
            <w:vAlign w:val="bottom"/>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2.9 %</w:t>
            </w: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9.9 %</w:t>
            </w:r>
          </w:p>
        </w:tc>
      </w:tr>
      <w:tr>
        <w:trPr>
          <w:trHeight w:val="20"/>
        </w:trPr>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delinquent and nonperforming loans, net of deferred fees and costs, and purchase discounts as of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54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8"/>
              </w:rPr>
              <w:t>As of or for the Periods Ended</w:t>
            </w: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49"/>
        </w:trPr>
        <w:tc>
          <w:tcPr>
            <w:tcW w:w="65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September 30,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9"/>
              </w:rPr>
              <w:t>June 30,</w:t>
            </w:r>
          </w:p>
        </w:tc>
        <w:tc>
          <w:tcPr>
            <w:tcW w:w="240" w:type="dxa"/>
            <w:vAlign w:val="bottom"/>
          </w:tcPr>
          <w:p>
            <w:pPr>
              <w:spacing w:after="0"/>
              <w:rPr>
                <w:sz w:val="12"/>
                <w:szCs w:val="12"/>
                <w:color w:val="auto"/>
              </w:rPr>
            </w:pPr>
          </w:p>
        </w:tc>
        <w:tc>
          <w:tcPr>
            <w:tcW w:w="1280" w:type="dxa"/>
            <w:vAlign w:val="bottom"/>
          </w:tcPr>
          <w:p>
            <w:pPr>
              <w:jc w:val="right"/>
              <w:ind w:right="346"/>
              <w:spacing w:after="0"/>
              <w:rPr>
                <w:sz w:val="20"/>
                <w:szCs w:val="20"/>
                <w:color w:val="auto"/>
              </w:rPr>
            </w:pPr>
            <w:r>
              <w:rPr>
                <w:rFonts w:ascii="Arial" w:cs="Arial" w:eastAsia="Arial" w:hAnsi="Arial"/>
                <w:sz w:val="11"/>
                <w:szCs w:val="11"/>
                <w:b w:val="1"/>
                <w:bCs w:val="1"/>
                <w:color w:val="auto"/>
              </w:rPr>
              <w:t>September 30,</w:t>
            </w:r>
          </w:p>
        </w:tc>
      </w:tr>
      <w:tr>
        <w:trPr>
          <w:trHeight w:val="164"/>
        </w:trPr>
        <w:tc>
          <w:tcPr>
            <w:tcW w:w="6540" w:type="dxa"/>
            <w:vAlign w:val="bottom"/>
          </w:tcPr>
          <w:p>
            <w:pPr>
              <w:spacing w:after="0"/>
              <w:rPr>
                <w:sz w:val="14"/>
                <w:szCs w:val="14"/>
                <w:color w:val="auto"/>
              </w:rPr>
            </w:pPr>
          </w:p>
        </w:tc>
        <w:tc>
          <w:tcPr>
            <w:tcW w:w="11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2026</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97"/>
              </w:rPr>
              <w:t>2026</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2025</w:t>
            </w:r>
          </w:p>
        </w:tc>
      </w:tr>
      <w:tr>
        <w:trPr>
          <w:trHeight w:val="148"/>
        </w:trPr>
        <w:tc>
          <w:tcPr>
            <w:tcW w:w="6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1"/>
                <w:szCs w:val="11"/>
                <w:i w:val="1"/>
                <w:iCs w:val="1"/>
                <w:color w:val="auto"/>
                <w:w w:val="97"/>
              </w:rPr>
              <w:t>(Dollars in thousands)</w:t>
            </w: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68"/>
        </w:trPr>
        <w:tc>
          <w:tcPr>
            <w:tcW w:w="6540" w:type="dxa"/>
            <w:vAlign w:val="bottom"/>
            <w:shd w:val="clear" w:color="auto" w:fill="CCEEFF"/>
          </w:tcPr>
          <w:p>
            <w:pPr>
              <w:spacing w:after="0"/>
              <w:rPr>
                <w:sz w:val="20"/>
                <w:szCs w:val="20"/>
                <w:color w:val="auto"/>
              </w:rPr>
            </w:pPr>
            <w:r>
              <w:rPr>
                <w:rFonts w:ascii="Arial" w:cs="Arial" w:eastAsia="Arial" w:hAnsi="Arial"/>
                <w:sz w:val="11"/>
                <w:szCs w:val="11"/>
                <w:color w:val="auto"/>
              </w:rPr>
              <w:t>Loans past due 30-89 days</w:t>
            </w:r>
          </w:p>
        </w:tc>
        <w:tc>
          <w:tcPr>
            <w:tcW w:w="1140" w:type="dxa"/>
            <w:vAlign w:val="bottom"/>
            <w:shd w:val="clear" w:color="auto" w:fill="CCEEFF"/>
          </w:tcPr>
          <w:p>
            <w:pPr>
              <w:jc w:val="right"/>
              <w:ind w:right="1006"/>
              <w:spacing w:after="0"/>
              <w:rPr>
                <w:sz w:val="20"/>
                <w:szCs w:val="20"/>
                <w:color w:val="auto"/>
              </w:rPr>
            </w:pPr>
            <w:r>
              <w:rPr>
                <w:rFonts w:ascii="Arial" w:cs="Arial" w:eastAsia="Arial" w:hAnsi="Arial"/>
                <w:sz w:val="11"/>
                <w:szCs w:val="11"/>
                <w:color w:val="auto"/>
                <w:w w:val="97"/>
              </w:rPr>
              <w:t>$</w:t>
            </w:r>
          </w:p>
        </w:tc>
        <w:tc>
          <w:tcPr>
            <w:tcW w:w="3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2,318</w:t>
            </w:r>
          </w:p>
        </w:tc>
        <w:tc>
          <w:tcPr>
            <w:tcW w:w="260" w:type="dxa"/>
            <w:vAlign w:val="bottom"/>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1,244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8,418</w:t>
            </w:r>
          </w:p>
        </w:tc>
      </w:tr>
      <w:tr>
        <w:trPr>
          <w:trHeight w:val="156"/>
        </w:trPr>
        <w:tc>
          <w:tcPr>
            <w:tcW w:w="6540" w:type="dxa"/>
            <w:vAlign w:val="bottom"/>
          </w:tcPr>
          <w:p>
            <w:pPr>
              <w:spacing w:after="0"/>
              <w:rPr>
                <w:sz w:val="20"/>
                <w:szCs w:val="20"/>
                <w:color w:val="auto"/>
              </w:rPr>
            </w:pPr>
            <w:r>
              <w:rPr>
                <w:rFonts w:ascii="Arial" w:cs="Arial" w:eastAsia="Arial" w:hAnsi="Arial"/>
                <w:sz w:val="11"/>
                <w:szCs w:val="11"/>
                <w:i w:val="1"/>
                <w:iCs w:val="1"/>
                <w:color w:val="auto"/>
              </w:rPr>
              <w:t>Loans past due 30-89 days, net of government guaranteed amounts</w:t>
            </w:r>
          </w:p>
        </w:tc>
        <w:tc>
          <w:tcPr>
            <w:tcW w:w="1140" w:type="dxa"/>
            <w:vAlign w:val="bottom"/>
          </w:tcPr>
          <w:p>
            <w:pPr>
              <w:jc w:val="right"/>
              <w:ind w:right="1006"/>
              <w:spacing w:after="0"/>
              <w:rPr>
                <w:sz w:val="20"/>
                <w:szCs w:val="20"/>
                <w:color w:val="auto"/>
              </w:rPr>
            </w:pPr>
            <w:r>
              <w:rPr>
                <w:rFonts w:ascii="Arial" w:cs="Arial" w:eastAsia="Arial" w:hAnsi="Arial"/>
                <w:sz w:val="11"/>
                <w:szCs w:val="11"/>
                <w:i w:val="1"/>
                <w:iCs w:val="1"/>
                <w:color w:val="auto"/>
                <w:w w:val="97"/>
              </w:rPr>
              <w:t>$</w:t>
            </w:r>
          </w:p>
        </w:tc>
        <w:tc>
          <w:tcPr>
            <w:tcW w:w="380" w:type="dxa"/>
            <w:vAlign w:val="bottom"/>
          </w:tcPr>
          <w:p>
            <w:pPr>
              <w:jc w:val="right"/>
              <w:ind w:right="6"/>
              <w:spacing w:after="0"/>
              <w:rPr>
                <w:sz w:val="20"/>
                <w:szCs w:val="20"/>
                <w:color w:val="auto"/>
              </w:rPr>
            </w:pPr>
            <w:r>
              <w:rPr>
                <w:rFonts w:ascii="Arial" w:cs="Arial" w:eastAsia="Arial" w:hAnsi="Arial"/>
                <w:sz w:val="11"/>
                <w:szCs w:val="11"/>
                <w:i w:val="1"/>
                <w:iCs w:val="1"/>
                <w:color w:val="auto"/>
              </w:rPr>
              <w:t>2,318</w:t>
            </w:r>
          </w:p>
        </w:tc>
        <w:tc>
          <w:tcPr>
            <w:tcW w:w="260" w:type="dxa"/>
            <w:vAlign w:val="bottom"/>
            <w:gridSpan w:val="2"/>
          </w:tcPr>
          <w:p>
            <w:pPr>
              <w:jc w:val="right"/>
              <w:ind w:right="26"/>
              <w:spacing w:after="0"/>
              <w:rPr>
                <w:sz w:val="20"/>
                <w:szCs w:val="20"/>
                <w:color w:val="auto"/>
              </w:rPr>
            </w:pPr>
            <w:r>
              <w:rPr>
                <w:rFonts w:ascii="Arial" w:cs="Arial" w:eastAsia="Arial" w:hAnsi="Arial"/>
                <w:sz w:val="11"/>
                <w:szCs w:val="11"/>
                <w:i w:val="1"/>
                <w:iCs w:val="1"/>
                <w:color w:val="auto"/>
              </w:rPr>
              <w:t>$</w:t>
            </w:r>
          </w:p>
        </w:tc>
        <w:tc>
          <w:tcPr>
            <w:tcW w:w="1360" w:type="dxa"/>
            <w:vAlign w:val="bottom"/>
          </w:tcPr>
          <w:p>
            <w:pPr>
              <w:jc w:val="right"/>
              <w:ind w:right="6"/>
              <w:spacing w:after="0"/>
              <w:rPr>
                <w:sz w:val="20"/>
                <w:szCs w:val="20"/>
                <w:color w:val="auto"/>
              </w:rPr>
            </w:pPr>
            <w:r>
              <w:rPr>
                <w:rFonts w:ascii="Arial" w:cs="Arial" w:eastAsia="Arial" w:hAnsi="Arial"/>
                <w:sz w:val="11"/>
                <w:szCs w:val="11"/>
                <w:i w:val="1"/>
                <w:iCs w:val="1"/>
                <w:color w:val="auto"/>
              </w:rPr>
              <w:t>1,244</w:t>
            </w:r>
          </w:p>
        </w:tc>
        <w:tc>
          <w:tcPr>
            <w:tcW w:w="100" w:type="dxa"/>
            <w:vAlign w:val="bottom"/>
          </w:tcPr>
          <w:p>
            <w:pPr>
              <w:spacing w:after="0"/>
              <w:rPr>
                <w:sz w:val="13"/>
                <w:szCs w:val="13"/>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i w:val="1"/>
                <w:iCs w:val="1"/>
                <w:color w:val="auto"/>
                <w:w w:val="97"/>
              </w:rPr>
              <w:t>$</w:t>
            </w:r>
          </w:p>
        </w:tc>
        <w:tc>
          <w:tcPr>
            <w:tcW w:w="1280" w:type="dxa"/>
            <w:vAlign w:val="bottom"/>
          </w:tcPr>
          <w:p>
            <w:pPr>
              <w:jc w:val="right"/>
              <w:ind w:right="6"/>
              <w:spacing w:after="0"/>
              <w:rPr>
                <w:sz w:val="20"/>
                <w:szCs w:val="20"/>
                <w:color w:val="auto"/>
              </w:rPr>
            </w:pPr>
            <w:r>
              <w:rPr>
                <w:rFonts w:ascii="Arial" w:cs="Arial" w:eastAsia="Arial" w:hAnsi="Arial"/>
                <w:sz w:val="11"/>
                <w:szCs w:val="11"/>
                <w:i w:val="1"/>
                <w:iCs w:val="1"/>
                <w:color w:val="auto"/>
              </w:rPr>
              <w:t>4,693</w:t>
            </w:r>
          </w:p>
        </w:tc>
      </w:tr>
      <w:tr>
        <w:trPr>
          <w:trHeight w:val="150"/>
        </w:trPr>
        <w:tc>
          <w:tcPr>
            <w:tcW w:w="6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7"/>
        </w:trPr>
        <w:tc>
          <w:tcPr>
            <w:tcW w:w="6540" w:type="dxa"/>
            <w:vAlign w:val="bottom"/>
          </w:tcPr>
          <w:p>
            <w:pPr>
              <w:spacing w:after="0"/>
              <w:rPr>
                <w:sz w:val="20"/>
                <w:szCs w:val="20"/>
                <w:color w:val="auto"/>
              </w:rPr>
            </w:pPr>
            <w:r>
              <w:rPr>
                <w:rFonts w:ascii="Arial" w:cs="Arial" w:eastAsia="Arial" w:hAnsi="Arial"/>
                <w:sz w:val="11"/>
                <w:szCs w:val="11"/>
                <w:color w:val="auto"/>
              </w:rPr>
              <w:t>Delinquent loans (past due 90+ days still accruing)</w:t>
            </w:r>
          </w:p>
        </w:tc>
        <w:tc>
          <w:tcPr>
            <w:tcW w:w="1140" w:type="dxa"/>
            <w:vAlign w:val="bottom"/>
          </w:tcPr>
          <w:p>
            <w:pPr>
              <w:jc w:val="right"/>
              <w:ind w:right="1006"/>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26"/>
              <w:spacing w:after="0"/>
              <w:rPr>
                <w:sz w:val="20"/>
                <w:szCs w:val="20"/>
                <w:color w:val="auto"/>
              </w:rPr>
            </w:pPr>
            <w:r>
              <w:rPr>
                <w:rFonts w:ascii="Arial" w:cs="Arial" w:eastAsia="Arial" w:hAnsi="Arial"/>
                <w:sz w:val="11"/>
                <w:szCs w:val="11"/>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67"/>
        </w:trPr>
        <w:tc>
          <w:tcPr>
            <w:tcW w:w="6540" w:type="dxa"/>
            <w:vAlign w:val="bottom"/>
            <w:shd w:val="clear" w:color="auto" w:fill="CCEEFF"/>
          </w:tcPr>
          <w:p>
            <w:pPr>
              <w:spacing w:after="0"/>
              <w:rPr>
                <w:sz w:val="20"/>
                <w:szCs w:val="20"/>
                <w:color w:val="auto"/>
              </w:rPr>
            </w:pPr>
            <w:r>
              <w:rPr>
                <w:rFonts w:ascii="Arial" w:cs="Arial" w:eastAsia="Arial" w:hAnsi="Arial"/>
                <w:sz w:val="11"/>
                <w:szCs w:val="11"/>
                <w:color w:val="auto"/>
              </w:rPr>
              <w:t>Nonaccrual loans</w:t>
            </w:r>
          </w:p>
        </w:tc>
        <w:tc>
          <w:tcPr>
            <w:tcW w:w="11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89"/>
              </w:rPr>
              <w:t>11,881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11,442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14,355</w:t>
            </w:r>
          </w:p>
        </w:tc>
      </w:tr>
      <w:tr>
        <w:trPr>
          <w:trHeight w:val="157"/>
        </w:trPr>
        <w:tc>
          <w:tcPr>
            <w:tcW w:w="65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 real estate owned</w:t>
            </w:r>
          </w:p>
        </w:tc>
        <w:tc>
          <w:tcPr>
            <w:tcW w:w="1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6,874</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6,874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r>
      <w:tr>
        <w:trPr>
          <w:trHeight w:val="172"/>
        </w:trPr>
        <w:tc>
          <w:tcPr>
            <w:tcW w:w="65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rPr>
              <w:t>Nonperforming assets</w:t>
            </w:r>
          </w:p>
        </w:tc>
        <w:tc>
          <w:tcPr>
            <w:tcW w:w="1140" w:type="dxa"/>
            <w:vAlign w:val="bottom"/>
            <w:tcBorders>
              <w:bottom w:val="single" w:sz="8" w:color="auto"/>
            </w:tcBorders>
            <w:shd w:val="clear" w:color="auto" w:fill="CCEEFF"/>
          </w:tcPr>
          <w:p>
            <w:pPr>
              <w:jc w:val="right"/>
              <w:ind w:right="1006"/>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89"/>
              </w:rPr>
              <w:t>18,755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3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18,316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14,355</w:t>
            </w:r>
          </w:p>
        </w:tc>
      </w:tr>
      <w:tr>
        <w:trPr>
          <w:trHeight w:val="157"/>
        </w:trPr>
        <w:tc>
          <w:tcPr>
            <w:tcW w:w="6540" w:type="dxa"/>
            <w:vAlign w:val="bottom"/>
          </w:tcPr>
          <w:p>
            <w:pPr>
              <w:ind w:left="80"/>
              <w:spacing w:after="0"/>
              <w:rPr>
                <w:sz w:val="20"/>
                <w:szCs w:val="20"/>
                <w:color w:val="auto"/>
              </w:rPr>
            </w:pPr>
            <w:r>
              <w:rPr>
                <w:rFonts w:ascii="Arial" w:cs="Arial" w:eastAsia="Arial" w:hAnsi="Arial"/>
                <w:sz w:val="11"/>
                <w:szCs w:val="11"/>
                <w:i w:val="1"/>
                <w:iCs w:val="1"/>
                <w:color w:val="auto"/>
              </w:rPr>
              <w:t>Nonperforming assets, net of government guaranteed amounts</w:t>
            </w:r>
          </w:p>
        </w:tc>
        <w:tc>
          <w:tcPr>
            <w:tcW w:w="1140" w:type="dxa"/>
            <w:vAlign w:val="bottom"/>
          </w:tcPr>
          <w:p>
            <w:pPr>
              <w:jc w:val="right"/>
              <w:ind w:right="1006"/>
              <w:spacing w:after="0"/>
              <w:rPr>
                <w:sz w:val="20"/>
                <w:szCs w:val="20"/>
                <w:color w:val="auto"/>
              </w:rPr>
            </w:pPr>
            <w:r>
              <w:rPr>
                <w:rFonts w:ascii="Arial" w:cs="Arial" w:eastAsia="Arial" w:hAnsi="Arial"/>
                <w:sz w:val="11"/>
                <w:szCs w:val="11"/>
                <w:i w:val="1"/>
                <w:iCs w:val="1"/>
                <w:color w:val="auto"/>
                <w:w w:val="97"/>
              </w:rPr>
              <w:t>$</w:t>
            </w:r>
          </w:p>
        </w:tc>
        <w:tc>
          <w:tcPr>
            <w:tcW w:w="380" w:type="dxa"/>
            <w:vAlign w:val="bottom"/>
          </w:tcPr>
          <w:p>
            <w:pPr>
              <w:jc w:val="right"/>
              <w:ind w:right="6"/>
              <w:spacing w:after="0"/>
              <w:rPr>
                <w:sz w:val="20"/>
                <w:szCs w:val="20"/>
                <w:color w:val="auto"/>
              </w:rPr>
            </w:pPr>
            <w:r>
              <w:rPr>
                <w:rFonts w:ascii="Arial" w:cs="Arial" w:eastAsia="Arial" w:hAnsi="Arial"/>
                <w:sz w:val="11"/>
                <w:szCs w:val="11"/>
                <w:i w:val="1"/>
                <w:iCs w:val="1"/>
                <w:color w:val="auto"/>
                <w:w w:val="89"/>
              </w:rPr>
              <w:t>11,007</w:t>
            </w:r>
          </w:p>
        </w:tc>
        <w:tc>
          <w:tcPr>
            <w:tcW w:w="260" w:type="dxa"/>
            <w:vAlign w:val="bottom"/>
            <w:gridSpan w:val="2"/>
          </w:tcPr>
          <w:p>
            <w:pPr>
              <w:jc w:val="right"/>
              <w:ind w:right="26"/>
              <w:spacing w:after="0"/>
              <w:rPr>
                <w:sz w:val="20"/>
                <w:szCs w:val="20"/>
                <w:color w:val="auto"/>
              </w:rPr>
            </w:pPr>
            <w:r>
              <w:rPr>
                <w:rFonts w:ascii="Arial" w:cs="Arial" w:eastAsia="Arial" w:hAnsi="Arial"/>
                <w:sz w:val="11"/>
                <w:szCs w:val="11"/>
                <w:i w:val="1"/>
                <w:iCs w:val="1"/>
                <w:color w:val="auto"/>
              </w:rPr>
              <w:t>$</w:t>
            </w:r>
          </w:p>
        </w:tc>
        <w:tc>
          <w:tcPr>
            <w:tcW w:w="1360" w:type="dxa"/>
            <w:vAlign w:val="bottom"/>
          </w:tcPr>
          <w:p>
            <w:pPr>
              <w:jc w:val="right"/>
              <w:ind w:right="6"/>
              <w:spacing w:after="0"/>
              <w:rPr>
                <w:sz w:val="20"/>
                <w:szCs w:val="20"/>
                <w:color w:val="auto"/>
              </w:rPr>
            </w:pPr>
            <w:r>
              <w:rPr>
                <w:rFonts w:ascii="Arial" w:cs="Arial" w:eastAsia="Arial" w:hAnsi="Arial"/>
                <w:sz w:val="11"/>
                <w:szCs w:val="11"/>
                <w:i w:val="1"/>
                <w:iCs w:val="1"/>
                <w:color w:val="auto"/>
              </w:rPr>
              <w:t>10,002</w:t>
            </w:r>
          </w:p>
        </w:tc>
        <w:tc>
          <w:tcPr>
            <w:tcW w:w="100" w:type="dxa"/>
            <w:vAlign w:val="bottom"/>
          </w:tcPr>
          <w:p>
            <w:pPr>
              <w:spacing w:after="0"/>
              <w:rPr>
                <w:sz w:val="13"/>
                <w:szCs w:val="13"/>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i w:val="1"/>
                <w:iCs w:val="1"/>
                <w:color w:val="auto"/>
                <w:w w:val="97"/>
              </w:rPr>
              <w:t>$</w:t>
            </w:r>
          </w:p>
        </w:tc>
        <w:tc>
          <w:tcPr>
            <w:tcW w:w="1280" w:type="dxa"/>
            <w:vAlign w:val="bottom"/>
          </w:tcPr>
          <w:p>
            <w:pPr>
              <w:jc w:val="right"/>
              <w:ind w:right="6"/>
              <w:spacing w:after="0"/>
              <w:rPr>
                <w:sz w:val="20"/>
                <w:szCs w:val="20"/>
                <w:color w:val="auto"/>
              </w:rPr>
            </w:pPr>
            <w:r>
              <w:rPr>
                <w:rFonts w:ascii="Arial" w:cs="Arial" w:eastAsia="Arial" w:hAnsi="Arial"/>
                <w:sz w:val="11"/>
                <w:szCs w:val="11"/>
                <w:i w:val="1"/>
                <w:iCs w:val="1"/>
                <w:color w:val="auto"/>
              </w:rPr>
              <w:t>12,495</w:t>
            </w:r>
          </w:p>
        </w:tc>
      </w:tr>
      <w:tr>
        <w:trPr>
          <w:trHeight w:val="150"/>
        </w:trPr>
        <w:tc>
          <w:tcPr>
            <w:tcW w:w="6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7"/>
        </w:trPr>
        <w:tc>
          <w:tcPr>
            <w:tcW w:w="6540" w:type="dxa"/>
            <w:vAlign w:val="bottom"/>
          </w:tcPr>
          <w:p>
            <w:pPr>
              <w:spacing w:after="0"/>
              <w:rPr>
                <w:sz w:val="20"/>
                <w:szCs w:val="20"/>
                <w:color w:val="auto"/>
              </w:rPr>
            </w:pPr>
            <w:r>
              <w:rPr>
                <w:rFonts w:ascii="Arial" w:cs="Arial" w:eastAsia="Arial" w:hAnsi="Arial"/>
                <w:sz w:val="11"/>
                <w:szCs w:val="11"/>
                <w:color w:val="auto"/>
              </w:rPr>
              <w:t>Net loan (recoveries) charge-offs QTD</w:t>
            </w:r>
          </w:p>
        </w:tc>
        <w:tc>
          <w:tcPr>
            <w:tcW w:w="1140" w:type="dxa"/>
            <w:vAlign w:val="bottom"/>
          </w:tcPr>
          <w:p>
            <w:pPr>
              <w:jc w:val="right"/>
              <w:ind w:right="1006"/>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spacing w:after="0"/>
              <w:rPr>
                <w:sz w:val="20"/>
                <w:szCs w:val="20"/>
                <w:color w:val="auto"/>
              </w:rPr>
            </w:pPr>
            <w:r>
              <w:rPr>
                <w:rFonts w:ascii="Arial" w:cs="Arial" w:eastAsia="Arial" w:hAnsi="Arial"/>
                <w:sz w:val="11"/>
                <w:szCs w:val="11"/>
                <w:color w:val="auto"/>
                <w:w w:val="97"/>
              </w:rPr>
              <w:t>(1,214)</w:t>
            </w:r>
          </w:p>
        </w:tc>
        <w:tc>
          <w:tcPr>
            <w:tcW w:w="260" w:type="dxa"/>
            <w:vAlign w:val="bottom"/>
            <w:gridSpan w:val="2"/>
          </w:tcPr>
          <w:p>
            <w:pPr>
              <w:jc w:val="right"/>
              <w:ind w:right="26"/>
              <w:spacing w:after="0"/>
              <w:rPr>
                <w:sz w:val="20"/>
                <w:szCs w:val="20"/>
                <w:color w:val="auto"/>
              </w:rPr>
            </w:pPr>
            <w:r>
              <w:rPr>
                <w:rFonts w:ascii="Arial" w:cs="Arial" w:eastAsia="Arial" w:hAnsi="Arial"/>
                <w:sz w:val="11"/>
                <w:szCs w:val="11"/>
                <w:color w:val="auto"/>
              </w:rPr>
              <w:t>$</w:t>
            </w: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944</w:t>
            </w:r>
          </w:p>
        </w:tc>
        <w:tc>
          <w:tcPr>
            <w:tcW w:w="100" w:type="dxa"/>
            <w:vAlign w:val="bottom"/>
          </w:tcPr>
          <w:p>
            <w:pPr>
              <w:spacing w:after="0"/>
              <w:rPr>
                <w:sz w:val="13"/>
                <w:szCs w:val="13"/>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67"/>
        </w:trPr>
        <w:tc>
          <w:tcPr>
            <w:tcW w:w="6540" w:type="dxa"/>
            <w:vAlign w:val="bottom"/>
            <w:shd w:val="clear" w:color="auto" w:fill="CCEEFF"/>
          </w:tcPr>
          <w:p>
            <w:pPr>
              <w:spacing w:after="0"/>
              <w:rPr>
                <w:sz w:val="20"/>
                <w:szCs w:val="20"/>
                <w:color w:val="auto"/>
              </w:rPr>
            </w:pPr>
            <w:r>
              <w:rPr>
                <w:rFonts w:ascii="Arial" w:cs="Arial" w:eastAsia="Arial" w:hAnsi="Arial"/>
                <w:sz w:val="11"/>
                <w:szCs w:val="11"/>
                <w:color w:val="auto"/>
              </w:rPr>
              <w:t>Net loan charge-offs YTD</w:t>
            </w:r>
          </w:p>
        </w:tc>
        <w:tc>
          <w:tcPr>
            <w:tcW w:w="1140" w:type="dxa"/>
            <w:vAlign w:val="bottom"/>
            <w:shd w:val="clear" w:color="auto" w:fill="CCEEFF"/>
          </w:tcPr>
          <w:p>
            <w:pPr>
              <w:jc w:val="right"/>
              <w:ind w:right="1006"/>
              <w:spacing w:after="0"/>
              <w:rPr>
                <w:sz w:val="20"/>
                <w:szCs w:val="20"/>
                <w:color w:val="auto"/>
              </w:rPr>
            </w:pPr>
            <w:r>
              <w:rPr>
                <w:rFonts w:ascii="Arial" w:cs="Arial" w:eastAsia="Arial" w:hAnsi="Arial"/>
                <w:sz w:val="11"/>
                <w:szCs w:val="11"/>
                <w:color w:val="auto"/>
                <w:w w:val="97"/>
              </w:rPr>
              <w:t>$</w:t>
            </w:r>
          </w:p>
        </w:tc>
        <w:tc>
          <w:tcPr>
            <w:tcW w:w="3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3,098</w:t>
            </w:r>
          </w:p>
        </w:tc>
        <w:tc>
          <w:tcPr>
            <w:tcW w:w="260" w:type="dxa"/>
            <w:vAlign w:val="bottom"/>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4,312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27</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Deposits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Deposits totaled $2.6 billion at September 30, 2026, an increase of $32.5 million, or 1.3%, compared to June 30, 2026. The increase in deposits during the third quarter of 2026 was driven by the establishment of a few large new-client relationships that brought in money market deposits during the quarter, as well as seasonal deposit inflows. Noninterest-bearing deposits to total deposits was 39.0% and 39.7% at September 30, 2026, and June 30, 2026, respectively.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300"/>
          </w:cols>
          <w:pgMar w:left="300" w:top="670" w:right="299" w:bottom="1440" w:gutter="0" w:footer="0" w:header="0"/>
        </w:sectPr>
      </w:pPr>
    </w:p>
    <w:bookmarkStart w:id="11" w:name="page12"/>
    <w:bookmarkEnd w:id="11"/>
    <w:p>
      <w:pPr>
        <w:ind w:right="20"/>
        <w:spacing w:after="0" w:line="272" w:lineRule="auto"/>
        <w:rPr>
          <w:sz w:val="20"/>
          <w:szCs w:val="20"/>
          <w:color w:val="auto"/>
        </w:rPr>
      </w:pPr>
      <w:r>
        <w:rPr>
          <w:rFonts w:ascii="Arial" w:cs="Arial" w:eastAsia="Arial" w:hAnsi="Arial"/>
          <w:sz w:val="13"/>
          <w:szCs w:val="13"/>
          <w:color w:val="auto"/>
        </w:rPr>
        <w:t>The 10 largest deposit relationships, excluding fully collateralized government agency deposits, represent approximately 15.0% of total deposits as of September 30, 2026. The Bank generally aggregates related depositors with entities and individuals that have the same deposit account signers as one deposit relationship.</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composition of the Bank’s deposits as of the dates indicated:</w:t>
      </w:r>
    </w:p>
    <w:p>
      <w:pPr>
        <w:sectPr>
          <w:pgSz w:w="11900" w:h="16838" w:orient="portrait"/>
          <w:cols w:equalWidth="0" w:num="1">
            <w:col w:w="11300"/>
          </w:cols>
          <w:pgMar w:left="300" w:top="67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0"/>
          <w:szCs w:val="10"/>
          <w:color w:val="auto"/>
        </w:rPr>
        <w:t>Noninterest-bearing demand</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Interest-bearing demand</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Money markets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Savings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Time certificates of deposit</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1"/>
          <w:szCs w:val="11"/>
          <w:color w:val="auto"/>
        </w:rPr>
        <w:t>Total deposits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4"/>
              </w:rPr>
              <w:t>As of</w:t>
            </w: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Borders>
              <w:bottom w:val="single" w:sz="8" w:color="auto"/>
            </w:tcBorders>
            <w:gridSpan w:val="3"/>
          </w:tcPr>
          <w:p>
            <w:pPr>
              <w:ind w:left="1320"/>
              <w:spacing w:after="0"/>
              <w:rPr>
                <w:sz w:val="20"/>
                <w:szCs w:val="20"/>
                <w:color w:val="auto"/>
              </w:rPr>
            </w:pPr>
            <w:r>
              <w:rPr>
                <w:rFonts w:ascii="Arial" w:cs="Arial" w:eastAsia="Arial" w:hAnsi="Arial"/>
                <w:sz w:val="11"/>
                <w:szCs w:val="11"/>
                <w:b w:val="1"/>
                <w:bCs w:val="1"/>
                <w:color w:val="auto"/>
              </w:rPr>
              <w:t>Change % vs.</w:t>
            </w:r>
          </w:p>
        </w:tc>
        <w:tc>
          <w:tcPr>
            <w:tcW w:w="1260" w:type="dxa"/>
            <w:vAlign w:val="bottom"/>
            <w:tcBorders>
              <w:bottom w:val="single" w:sz="8" w:color="auto"/>
            </w:tcBorders>
          </w:tcPr>
          <w:p>
            <w:pPr>
              <w:spacing w:after="0"/>
              <w:rPr>
                <w:sz w:val="13"/>
                <w:szCs w:val="13"/>
                <w:color w:val="auto"/>
              </w:rPr>
            </w:pPr>
          </w:p>
        </w:tc>
      </w:tr>
      <w:tr>
        <w:trPr>
          <w:trHeight w:val="148"/>
        </w:trPr>
        <w:tc>
          <w:tcPr>
            <w:tcW w:w="220" w:type="dxa"/>
            <w:vAlign w:val="bottom"/>
          </w:tcPr>
          <w:p>
            <w:pPr>
              <w:spacing w:after="0"/>
              <w:rPr>
                <w:sz w:val="12"/>
                <w:szCs w:val="12"/>
                <w:color w:val="auto"/>
              </w:rPr>
            </w:pPr>
          </w:p>
        </w:tc>
        <w:tc>
          <w:tcPr>
            <w:tcW w:w="1380" w:type="dxa"/>
            <w:vAlign w:val="bottom"/>
            <w:gridSpan w:val="2"/>
          </w:tcPr>
          <w:p>
            <w:pPr>
              <w:ind w:left="160"/>
              <w:spacing w:after="0"/>
              <w:rPr>
                <w:sz w:val="20"/>
                <w:szCs w:val="20"/>
                <w:color w:val="auto"/>
              </w:rPr>
            </w:pPr>
            <w:r>
              <w:rPr>
                <w:rFonts w:ascii="Arial" w:cs="Arial" w:eastAsia="Arial" w:hAnsi="Arial"/>
                <w:sz w:val="11"/>
                <w:szCs w:val="11"/>
                <w:b w:val="1"/>
                <w:bCs w:val="1"/>
                <w:color w:val="auto"/>
              </w:rPr>
              <w:t>September 30,</w:t>
            </w:r>
          </w:p>
        </w:tc>
        <w:tc>
          <w:tcPr>
            <w:tcW w:w="140" w:type="dxa"/>
            <w:vAlign w:val="bottom"/>
          </w:tcPr>
          <w:p>
            <w:pPr>
              <w:spacing w:after="0"/>
              <w:rPr>
                <w:sz w:val="12"/>
                <w:szCs w:val="12"/>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June 30,</w:t>
            </w:r>
          </w:p>
        </w:tc>
        <w:tc>
          <w:tcPr>
            <w:tcW w:w="240" w:type="dxa"/>
            <w:vAlign w:val="bottom"/>
          </w:tcPr>
          <w:p>
            <w:pPr>
              <w:spacing w:after="0"/>
              <w:rPr>
                <w:sz w:val="12"/>
                <w:szCs w:val="12"/>
                <w:color w:val="auto"/>
              </w:rPr>
            </w:pPr>
          </w:p>
        </w:tc>
        <w:tc>
          <w:tcPr>
            <w:tcW w:w="1380" w:type="dxa"/>
            <w:vAlign w:val="bottom"/>
            <w:gridSpan w:val="2"/>
          </w:tcPr>
          <w:p>
            <w:pPr>
              <w:ind w:left="160"/>
              <w:spacing w:after="0"/>
              <w:rPr>
                <w:sz w:val="20"/>
                <w:szCs w:val="20"/>
                <w:color w:val="auto"/>
              </w:rPr>
            </w:pPr>
            <w:r>
              <w:rPr>
                <w:rFonts w:ascii="Arial" w:cs="Arial" w:eastAsia="Arial" w:hAnsi="Arial"/>
                <w:sz w:val="11"/>
                <w:szCs w:val="11"/>
                <w:b w:val="1"/>
                <w:bCs w:val="1"/>
                <w:color w:val="auto"/>
              </w:rPr>
              <w:t>September 30,</w:t>
            </w:r>
          </w:p>
        </w:tc>
        <w:tc>
          <w:tcPr>
            <w:tcW w:w="2100" w:type="dxa"/>
            <w:vAlign w:val="bottom"/>
            <w:gridSpan w:val="3"/>
          </w:tcPr>
          <w:p>
            <w:pPr>
              <w:ind w:left="580"/>
              <w:spacing w:after="0"/>
              <w:rPr>
                <w:sz w:val="20"/>
                <w:szCs w:val="20"/>
                <w:color w:val="auto"/>
              </w:rPr>
            </w:pPr>
            <w:r>
              <w:rPr>
                <w:rFonts w:ascii="Arial" w:cs="Arial" w:eastAsia="Arial" w:hAnsi="Arial"/>
                <w:sz w:val="11"/>
                <w:szCs w:val="11"/>
                <w:b w:val="1"/>
                <w:bCs w:val="1"/>
                <w:color w:val="auto"/>
              </w:rPr>
              <w:t>June 30,</w:t>
            </w:r>
          </w:p>
        </w:tc>
        <w:tc>
          <w:tcPr>
            <w:tcW w:w="1260" w:type="dxa"/>
            <w:vAlign w:val="bottom"/>
          </w:tcPr>
          <w:p>
            <w:pPr>
              <w:jc w:val="right"/>
              <w:ind w:right="406"/>
              <w:spacing w:after="0"/>
              <w:rPr>
                <w:sz w:val="20"/>
                <w:szCs w:val="20"/>
                <w:color w:val="auto"/>
              </w:rPr>
            </w:pPr>
            <w:r>
              <w:rPr>
                <w:rFonts w:ascii="Arial" w:cs="Arial" w:eastAsia="Arial" w:hAnsi="Arial"/>
                <w:sz w:val="11"/>
                <w:szCs w:val="11"/>
                <w:b w:val="1"/>
                <w:bCs w:val="1"/>
                <w:color w:val="auto"/>
              </w:rPr>
              <w:t>September 30,</w:t>
            </w:r>
          </w:p>
        </w:tc>
      </w:tr>
      <w:tr>
        <w:trPr>
          <w:trHeight w:val="164"/>
        </w:trPr>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2026</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97"/>
              </w:rPr>
              <w:t>2026</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4"/>
                <w:szCs w:val="14"/>
                <w:color w:val="auto"/>
              </w:rPr>
            </w:pPr>
          </w:p>
        </w:tc>
        <w:tc>
          <w:tcPr>
            <w:tcW w:w="1580" w:type="dxa"/>
            <w:vAlign w:val="bottom"/>
            <w:tcBorders>
              <w:bottom w:val="single" w:sz="8" w:color="auto"/>
            </w:tcBorders>
          </w:tcPr>
          <w:p>
            <w:pPr>
              <w:jc w:val="right"/>
              <w:ind w:right="606"/>
              <w:spacing w:after="0"/>
              <w:rPr>
                <w:sz w:val="20"/>
                <w:szCs w:val="20"/>
                <w:color w:val="auto"/>
              </w:rPr>
            </w:pPr>
            <w:r>
              <w:rPr>
                <w:rFonts w:ascii="Arial" w:cs="Arial" w:eastAsia="Arial" w:hAnsi="Arial"/>
                <w:sz w:val="11"/>
                <w:szCs w:val="11"/>
                <w:b w:val="1"/>
                <w:bCs w:val="1"/>
                <w:color w:val="auto"/>
              </w:rPr>
              <w:t>2026</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rPr>
              <w:t>2025</w:t>
            </w:r>
          </w:p>
        </w:tc>
      </w:tr>
      <w:tr>
        <w:trPr>
          <w:trHeight w:val="143"/>
        </w:trPr>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1"/>
                <w:szCs w:val="11"/>
                <w:i w:val="1"/>
                <w:iCs w:val="1"/>
                <w:color w:val="auto"/>
                <w:w w:val="99"/>
              </w:rPr>
              <w:t>(Dollars in thousands)</w:t>
            </w: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996,593</w:t>
            </w:r>
          </w:p>
        </w:tc>
        <w:tc>
          <w:tcPr>
            <w:tcW w:w="12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1,002,579</w:t>
            </w:r>
          </w:p>
        </w:tc>
        <w:tc>
          <w:tcPr>
            <w:tcW w:w="100" w:type="dxa"/>
            <w:vAlign w:val="bottom"/>
          </w:tcPr>
          <w:p>
            <w:pPr>
              <w:spacing w:after="0"/>
              <w:rPr>
                <w:sz w:val="14"/>
                <w:szCs w:val="14"/>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1,058,787</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(0.6)%</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(5.9)%</w:t>
            </w:r>
          </w:p>
        </w:tc>
      </w:tr>
      <w:tr>
        <w:trPr>
          <w:trHeight w:val="162"/>
        </w:trPr>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235,923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230,837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235,025</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2.2 %</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0.4 %</w:t>
            </w:r>
          </w:p>
        </w:tc>
      </w:tr>
      <w:tr>
        <w:trPr>
          <w:trHeight w:val="162"/>
        </w:trPr>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1,023,335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984,500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810,311</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3.9 %</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26.3 %</w:t>
            </w:r>
          </w:p>
        </w:tc>
      </w:tr>
      <w:tr>
        <w:trPr>
          <w:trHeight w:val="162"/>
        </w:trPr>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166,787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166,673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181,282</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0.1 %</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(8.0)%</w:t>
            </w:r>
          </w:p>
        </w:tc>
      </w:tr>
      <w:tr>
        <w:trPr>
          <w:trHeight w:val="167"/>
        </w:trPr>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132,547</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138,104</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150,692</w:t>
            </w:r>
          </w:p>
        </w:tc>
        <w:tc>
          <w:tcPr>
            <w:tcW w:w="100" w:type="dxa"/>
            <w:vAlign w:val="bottom"/>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w:t>
            </w:r>
          </w:p>
        </w:tc>
      </w:tr>
      <w:tr>
        <w:trPr>
          <w:trHeight w:val="151"/>
        </w:trPr>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2,555,185</w:t>
            </w:r>
          </w:p>
        </w:tc>
        <w:tc>
          <w:tcPr>
            <w:tcW w:w="120" w:type="dxa"/>
            <w:vAlign w:val="bottom"/>
          </w:tcPr>
          <w:p>
            <w:pPr>
              <w:spacing w:after="0"/>
              <w:rPr>
                <w:sz w:val="13"/>
                <w:szCs w:val="13"/>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2,522,693</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2,436,097</w:t>
            </w:r>
          </w:p>
        </w:tc>
        <w:tc>
          <w:tcPr>
            <w:tcW w:w="100" w:type="dxa"/>
            <w:vAlign w:val="bottom"/>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1.3 %</w:t>
            </w:r>
          </w:p>
        </w:tc>
        <w:tc>
          <w:tcPr>
            <w:tcW w:w="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4.9 %</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-645160</wp:posOffset>
            </wp:positionV>
            <wp:extent cx="7178040"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-439420</wp:posOffset>
            </wp:positionV>
            <wp:extent cx="7178040" cy="10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-233680</wp:posOffset>
            </wp:positionV>
            <wp:extent cx="717804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400" w:space="720"/>
            <w:col w:w="8180"/>
          </w:cols>
          <w:pgMar w:left="300" w:top="670" w:right="299" w:bottom="1440" w:gutter="0" w:footer="0" w:header="0"/>
          <w:type w:val="continuous"/>
        </w:sectPr>
      </w:pPr>
    </w:p>
    <w:tbl>
      <w:tblPr>
        <w:tblLayout w:type="fixed"/>
        <w:tblInd w:w="0" w:type="dxa"/>
        <w:tblCellMar>
          <w:top w:w="0" w:type="dxa"/>
          <w:left w:w="0" w:type="dxa"/>
          <w:bottom w:w="0" w:type="dxa"/>
          <w:right w:w="0" w:type="dxa"/>
        </w:tblCellMar>
      </w:tblPr>
      <w:tr>
        <w:trPr>
          <w:trHeight w:val="106"/>
        </w:trPr>
        <w:tc>
          <w:tcPr>
            <w:tcW w:w="3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r>
      <w:tr>
        <w:trPr>
          <w:trHeight w:val="156"/>
        </w:trPr>
        <w:tc>
          <w:tcPr>
            <w:tcW w:w="3120" w:type="dxa"/>
            <w:vAlign w:val="bottom"/>
          </w:tcPr>
          <w:p>
            <w:pPr>
              <w:spacing w:after="0"/>
              <w:rPr>
                <w:sz w:val="20"/>
                <w:szCs w:val="20"/>
                <w:color w:val="auto"/>
              </w:rPr>
            </w:pPr>
            <w:r>
              <w:rPr>
                <w:rFonts w:ascii="Arial" w:cs="Arial" w:eastAsia="Arial" w:hAnsi="Arial"/>
                <w:sz w:val="11"/>
                <w:szCs w:val="11"/>
                <w:color w:val="auto"/>
              </w:rPr>
              <w:t>Deposits – personal</w:t>
            </w:r>
          </w:p>
        </w:tc>
        <w:tc>
          <w:tcPr>
            <w:tcW w:w="520" w:type="dxa"/>
            <w:vAlign w:val="bottom"/>
          </w:tcPr>
          <w:p>
            <w:pPr>
              <w:jc w:val="right"/>
              <w:ind w:right="41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776,887</w:t>
            </w:r>
          </w:p>
        </w:tc>
        <w:tc>
          <w:tcPr>
            <w:tcW w:w="120" w:type="dxa"/>
            <w:vAlign w:val="bottom"/>
          </w:tcPr>
          <w:p>
            <w:pPr>
              <w:spacing w:after="0"/>
              <w:rPr>
                <w:sz w:val="13"/>
                <w:szCs w:val="13"/>
                <w:color w:val="auto"/>
              </w:rPr>
            </w:pPr>
          </w:p>
        </w:tc>
        <w:tc>
          <w:tcPr>
            <w:tcW w:w="520" w:type="dxa"/>
            <w:vAlign w:val="bottom"/>
          </w:tcPr>
          <w:p>
            <w:pPr>
              <w:jc w:val="right"/>
              <w:ind w:right="41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781,810</w:t>
            </w:r>
          </w:p>
        </w:tc>
        <w:tc>
          <w:tcPr>
            <w:tcW w:w="100" w:type="dxa"/>
            <w:vAlign w:val="bottom"/>
          </w:tcPr>
          <w:p>
            <w:pPr>
              <w:spacing w:after="0"/>
              <w:rPr>
                <w:sz w:val="13"/>
                <w:szCs w:val="13"/>
                <w:color w:val="auto"/>
              </w:rPr>
            </w:pPr>
          </w:p>
        </w:tc>
        <w:tc>
          <w:tcPr>
            <w:tcW w:w="540" w:type="dxa"/>
            <w:vAlign w:val="bottom"/>
          </w:tcPr>
          <w:p>
            <w:pPr>
              <w:jc w:val="right"/>
              <w:ind w:right="40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779,312</w:t>
            </w:r>
          </w:p>
        </w:tc>
        <w:tc>
          <w:tcPr>
            <w:tcW w:w="1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(0.6)%</w:t>
            </w:r>
          </w:p>
        </w:tc>
        <w:tc>
          <w:tcPr>
            <w:tcW w:w="1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1"/>
                <w:szCs w:val="11"/>
                <w:color w:val="auto"/>
              </w:rPr>
              <w:t>(0.3)%</w:t>
            </w:r>
          </w:p>
        </w:tc>
      </w:tr>
      <w:tr>
        <w:trPr>
          <w:trHeight w:val="162"/>
        </w:trPr>
        <w:tc>
          <w:tcPr>
            <w:tcW w:w="3120" w:type="dxa"/>
            <w:vAlign w:val="bottom"/>
            <w:shd w:val="clear" w:color="auto" w:fill="CCEEFF"/>
          </w:tcPr>
          <w:p>
            <w:pPr>
              <w:spacing w:after="0"/>
              <w:rPr>
                <w:sz w:val="20"/>
                <w:szCs w:val="20"/>
                <w:color w:val="auto"/>
              </w:rPr>
            </w:pPr>
            <w:r>
              <w:rPr>
                <w:rFonts w:ascii="Arial" w:cs="Arial" w:eastAsia="Arial" w:hAnsi="Arial"/>
                <w:sz w:val="11"/>
                <w:szCs w:val="11"/>
                <w:color w:val="auto"/>
              </w:rPr>
              <w:t>Deposits – business</w:t>
            </w:r>
          </w:p>
        </w:tc>
        <w:tc>
          <w:tcPr>
            <w:tcW w:w="5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1,778,298</w:t>
            </w:r>
          </w:p>
        </w:tc>
        <w:tc>
          <w:tcPr>
            <w:tcW w:w="12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1,740,883</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1,656,785</w:t>
            </w:r>
          </w:p>
        </w:tc>
        <w:tc>
          <w:tcPr>
            <w:tcW w:w="100" w:type="dxa"/>
            <w:vAlign w:val="bottom"/>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2.1 %</w:t>
            </w:r>
          </w:p>
        </w:tc>
        <w:tc>
          <w:tcPr>
            <w:tcW w:w="120" w:type="dxa"/>
            <w:vAlign w:val="bottom"/>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7.3 %</w:t>
            </w:r>
          </w:p>
        </w:tc>
      </w:tr>
      <w:tr>
        <w:trPr>
          <w:trHeight w:val="156"/>
        </w:trPr>
        <w:tc>
          <w:tcPr>
            <w:tcW w:w="3120" w:type="dxa"/>
            <w:vAlign w:val="bottom"/>
          </w:tcPr>
          <w:p>
            <w:pPr>
              <w:ind w:left="80"/>
              <w:spacing w:after="0"/>
              <w:rPr>
                <w:sz w:val="20"/>
                <w:szCs w:val="20"/>
                <w:color w:val="auto"/>
              </w:rPr>
            </w:pPr>
            <w:r>
              <w:rPr>
                <w:rFonts w:ascii="Arial" w:cs="Arial" w:eastAsia="Arial" w:hAnsi="Arial"/>
                <w:sz w:val="11"/>
                <w:szCs w:val="11"/>
                <w:color w:val="auto"/>
              </w:rPr>
              <w:t>Total deposits</w:t>
            </w:r>
          </w:p>
        </w:tc>
        <w:tc>
          <w:tcPr>
            <w:tcW w:w="52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2,555,185</w:t>
            </w:r>
          </w:p>
        </w:tc>
        <w:tc>
          <w:tcPr>
            <w:tcW w:w="120" w:type="dxa"/>
            <w:vAlign w:val="bottom"/>
          </w:tcPr>
          <w:p>
            <w:pPr>
              <w:spacing w:after="0"/>
              <w:rPr>
                <w:sz w:val="13"/>
                <w:szCs w:val="13"/>
                <w:color w:val="auto"/>
              </w:rPr>
            </w:pPr>
          </w:p>
        </w:tc>
        <w:tc>
          <w:tcPr>
            <w:tcW w:w="52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2,522,693</w:t>
            </w:r>
          </w:p>
        </w:tc>
        <w:tc>
          <w:tcPr>
            <w:tcW w:w="100" w:type="dxa"/>
            <w:vAlign w:val="bottom"/>
          </w:tcPr>
          <w:p>
            <w:pPr>
              <w:spacing w:after="0"/>
              <w:rPr>
                <w:sz w:val="13"/>
                <w:szCs w:val="13"/>
                <w:color w:val="auto"/>
              </w:rPr>
            </w:pPr>
          </w:p>
        </w:tc>
        <w:tc>
          <w:tcPr>
            <w:tcW w:w="54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2,436,097</w:t>
            </w:r>
          </w:p>
        </w:tc>
        <w:tc>
          <w:tcPr>
            <w:tcW w:w="100" w:type="dxa"/>
            <w:vAlign w:val="bottom"/>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1.3 %</w:t>
            </w:r>
          </w:p>
        </w:tc>
        <w:tc>
          <w:tcPr>
            <w:tcW w:w="120" w:type="dxa"/>
            <w:vAlign w:val="bottom"/>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4.9 %</w:t>
            </w:r>
          </w:p>
        </w:tc>
      </w:tr>
      <w:tr>
        <w:trPr>
          <w:trHeight w:val="20"/>
        </w:trPr>
        <w:tc>
          <w:tcPr>
            <w:tcW w:w="3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Liquidity Position</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Bank’s liquidity for each period reported: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5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94"/>
              </w:rPr>
              <w:t>As of</w:t>
            </w: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r>
      <w:tr>
        <w:trPr>
          <w:trHeight w:val="148"/>
        </w:trPr>
        <w:tc>
          <w:tcPr>
            <w:tcW w:w="6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160"/>
              <w:spacing w:after="0"/>
              <w:rPr>
                <w:sz w:val="20"/>
                <w:szCs w:val="20"/>
                <w:color w:val="auto"/>
              </w:rPr>
            </w:pPr>
            <w:r>
              <w:rPr>
                <w:rFonts w:ascii="Arial" w:cs="Arial" w:eastAsia="Arial" w:hAnsi="Arial"/>
                <w:sz w:val="11"/>
                <w:szCs w:val="11"/>
                <w:b w:val="1"/>
                <w:bCs w:val="1"/>
                <w:color w:val="auto"/>
              </w:rPr>
              <w:t>September 30,</w:t>
            </w:r>
          </w:p>
        </w:tc>
        <w:tc>
          <w:tcPr>
            <w:tcW w:w="160" w:type="dxa"/>
            <w:vAlign w:val="bottom"/>
          </w:tcPr>
          <w:p>
            <w:pPr>
              <w:spacing w:after="0"/>
              <w:rPr>
                <w:sz w:val="12"/>
                <w:szCs w:val="12"/>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June 30,</w:t>
            </w:r>
          </w:p>
        </w:tc>
        <w:tc>
          <w:tcPr>
            <w:tcW w:w="220" w:type="dxa"/>
            <w:vAlign w:val="bottom"/>
          </w:tcPr>
          <w:p>
            <w:pPr>
              <w:spacing w:after="0"/>
              <w:rPr>
                <w:sz w:val="12"/>
                <w:szCs w:val="12"/>
                <w:color w:val="auto"/>
              </w:rPr>
            </w:pPr>
          </w:p>
        </w:tc>
        <w:tc>
          <w:tcPr>
            <w:tcW w:w="1300" w:type="dxa"/>
            <w:vAlign w:val="bottom"/>
          </w:tcPr>
          <w:p>
            <w:pPr>
              <w:jc w:val="right"/>
              <w:ind w:right="346"/>
              <w:spacing w:after="0"/>
              <w:rPr>
                <w:sz w:val="20"/>
                <w:szCs w:val="20"/>
                <w:color w:val="auto"/>
              </w:rPr>
            </w:pPr>
            <w:r>
              <w:rPr>
                <w:rFonts w:ascii="Arial" w:cs="Arial" w:eastAsia="Arial" w:hAnsi="Arial"/>
                <w:sz w:val="11"/>
                <w:szCs w:val="11"/>
                <w:b w:val="1"/>
                <w:bCs w:val="1"/>
                <w:color w:val="auto"/>
              </w:rPr>
              <w:t>September 30,</w:t>
            </w:r>
          </w:p>
        </w:tc>
      </w:tr>
      <w:tr>
        <w:trPr>
          <w:trHeight w:val="164"/>
        </w:trPr>
        <w:tc>
          <w:tcPr>
            <w:tcW w:w="6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97"/>
              </w:rPr>
              <w:t>2026</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2025</w:t>
            </w:r>
          </w:p>
        </w:tc>
      </w:tr>
      <w:tr>
        <w:trPr>
          <w:trHeight w:val="148"/>
        </w:trPr>
        <w:tc>
          <w:tcPr>
            <w:tcW w:w="6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1"/>
                <w:szCs w:val="11"/>
                <w:i w:val="1"/>
                <w:iCs w:val="1"/>
                <w:color w:val="auto"/>
                <w:w w:val="99"/>
              </w:rPr>
              <w:t>(Dollars in thousands)</w:t>
            </w: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68"/>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116,929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146,873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143,504</w:t>
            </w:r>
          </w:p>
        </w:tc>
      </w:tr>
      <w:tr>
        <w:trPr>
          <w:trHeight w:val="156"/>
        </w:trPr>
        <w:tc>
          <w:tcPr>
            <w:tcW w:w="6520" w:type="dxa"/>
            <w:vAlign w:val="bottom"/>
          </w:tcPr>
          <w:p>
            <w:pPr>
              <w:spacing w:after="0"/>
              <w:rPr>
                <w:sz w:val="20"/>
                <w:szCs w:val="20"/>
                <w:color w:val="auto"/>
              </w:rPr>
            </w:pPr>
            <w:r>
              <w:rPr>
                <w:rFonts w:ascii="Arial" w:cs="Arial" w:eastAsia="Arial" w:hAnsi="Arial"/>
                <w:sz w:val="11"/>
                <w:szCs w:val="11"/>
                <w:color w:val="auto"/>
              </w:rPr>
              <w:t>Interest-earning deposits in other financial institutions</w:t>
            </w: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249</w:t>
            </w:r>
          </w:p>
        </w:tc>
      </w:tr>
      <w:tr>
        <w:trPr>
          <w:trHeight w:val="168"/>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Unencumbered AFS securities</w:t>
            </w:r>
          </w:p>
        </w:tc>
        <w:tc>
          <w:tcPr>
            <w:tcW w:w="2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232,614</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235,993</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326,183</w:t>
            </w:r>
          </w:p>
        </w:tc>
      </w:tr>
      <w:tr>
        <w:trPr>
          <w:trHeight w:val="145"/>
        </w:trPr>
        <w:tc>
          <w:tcPr>
            <w:tcW w:w="6520" w:type="dxa"/>
            <w:vAlign w:val="bottom"/>
          </w:tcPr>
          <w:p>
            <w:pPr>
              <w:ind w:left="80"/>
              <w:spacing w:after="0"/>
              <w:rPr>
                <w:sz w:val="20"/>
                <w:szCs w:val="20"/>
                <w:color w:val="auto"/>
              </w:rPr>
            </w:pPr>
            <w:r>
              <w:rPr>
                <w:rFonts w:ascii="Arial" w:cs="Arial" w:eastAsia="Arial" w:hAnsi="Arial"/>
                <w:sz w:val="11"/>
                <w:szCs w:val="11"/>
                <w:color w:val="auto"/>
              </w:rPr>
              <w:t>Total on-balance-sheet liquidity</w:t>
            </w: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349,643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382,966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469,936</w:t>
            </w:r>
          </w:p>
        </w:tc>
      </w:tr>
      <w:tr>
        <w:trPr>
          <w:trHeight w:val="150"/>
        </w:trPr>
        <w:tc>
          <w:tcPr>
            <w:tcW w:w="6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1"/>
                <w:szCs w:val="11"/>
                <w:color w:val="auto"/>
              </w:rPr>
              <w:t>Line of credit from the FHLB of San Francisco – collateralized</w:t>
            </w: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736,073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723,750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662,537</w:t>
            </w:r>
          </w:p>
        </w:tc>
      </w:tr>
      <w:tr>
        <w:trPr>
          <w:trHeight w:val="168"/>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Line of credit from the FRB of San Francisco – collateralized</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445,177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412,909</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382,095</w:t>
            </w:r>
          </w:p>
        </w:tc>
      </w:tr>
      <w:tr>
        <w:trPr>
          <w:trHeight w:val="156"/>
        </w:trPr>
        <w:tc>
          <w:tcPr>
            <w:tcW w:w="652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Lines at correspondent banks – unsecured</w:t>
            </w: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100,000</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100,000</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100,000</w:t>
            </w:r>
          </w:p>
        </w:tc>
      </w:tr>
      <w:tr>
        <w:trPr>
          <w:trHeight w:val="157"/>
        </w:trPr>
        <w:tc>
          <w:tcPr>
            <w:tcW w:w="6520" w:type="dxa"/>
            <w:vAlign w:val="bottom"/>
            <w:shd w:val="clear" w:color="auto" w:fill="CCEEFF"/>
          </w:tcPr>
          <w:p>
            <w:pPr>
              <w:ind w:left="80"/>
              <w:spacing w:after="0"/>
              <w:rPr>
                <w:sz w:val="20"/>
                <w:szCs w:val="20"/>
                <w:color w:val="auto"/>
              </w:rPr>
            </w:pPr>
            <w:r>
              <w:rPr>
                <w:rFonts w:ascii="Arial" w:cs="Arial" w:eastAsia="Arial" w:hAnsi="Arial"/>
                <w:sz w:val="11"/>
                <w:szCs w:val="11"/>
                <w:color w:val="auto"/>
              </w:rPr>
              <w:t>Total external contingency liquidity capacity</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1,281,250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1,236,659</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1,144,632</w:t>
            </w:r>
          </w:p>
        </w:tc>
      </w:tr>
      <w:tr>
        <w:trPr>
          <w:trHeight w:val="144"/>
        </w:trPr>
        <w:tc>
          <w:tcPr>
            <w:tcW w:w="6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Less: short-term borrowings</w:t>
            </w:r>
          </w:p>
        </w:tc>
        <w:tc>
          <w:tcPr>
            <w:tcW w:w="2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51"/>
        </w:trPr>
        <w:tc>
          <w:tcPr>
            <w:tcW w:w="6520" w:type="dxa"/>
            <w:vAlign w:val="bottom"/>
          </w:tcPr>
          <w:p>
            <w:pPr>
              <w:ind w:left="80"/>
              <w:spacing w:after="0"/>
              <w:rPr>
                <w:sz w:val="20"/>
                <w:szCs w:val="20"/>
                <w:color w:val="auto"/>
              </w:rPr>
            </w:pPr>
            <w:r>
              <w:rPr>
                <w:rFonts w:ascii="Arial" w:cs="Arial" w:eastAsia="Arial" w:hAnsi="Arial"/>
                <w:sz w:val="11"/>
                <w:szCs w:val="11"/>
                <w:color w:val="auto"/>
              </w:rPr>
              <w:t>Net available liquidity sources</w:t>
            </w: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1,630,893</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1,619,625</w:t>
            </w:r>
          </w:p>
        </w:tc>
        <w:tc>
          <w:tcPr>
            <w:tcW w:w="12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1,614,568</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As of September 30, 2026, net liquidity of $1.63 billion exceeded uninsured and uncollateralized deposits of approximately $1.35 billion, with a coverage ratio of 120%.</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Shareholders’ Equity</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Total shareholders’ equity was $402.6 million at September 30, 2026, a $4.1 million, or 1.0%, increase compared to June 30, 2026. Tangible common equity, a non-GAAP measure, was $341.6 million at September 30, 2026, a $5.1 million, or 1.5%, increase compared to June 30, 2026. The quarter-over-quarter change in tangible common equity is largely attributed to net income of $16.7 million, activity related to stock-based compensation and the amortization of core deposit intangibles, together totaling $1.5 million, partially offset by an increase in accumulated other comprehensive loss of $10.5 million due to higher unrealized losses on AFS investment securities during the quarter, and dividends declared of</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300"/>
          </w:cols>
          <w:pgMar w:left="300" w:top="670" w:right="2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3"/>
          <w:szCs w:val="13"/>
          <w:color w:val="auto"/>
        </w:rPr>
        <w:t>$2.6 million. Tangible book value per share, a non-GAAP measure, was $32.46 at September 30, 2026, compared to $32.01 at June 30, 2026. Please see "Non-GAAP Financial Measures" below.</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ABOUT WEST COAST COMMUNITY BANCORP AND WEST COAST COMMUNITY BANK</w:t>
      </w:r>
    </w:p>
    <w:p>
      <w:pPr>
        <w:spacing w:after="0" w:line="121"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West Coast Community Bancorp is the bank holding company for West Coast Community Bank. Founded in 2004, the Bank is a top-rated, locally operated and full-service community bank headquartered in Santa Cruz, Calif. with branches in Aptos, Capitola, King City, Monterey, Salinas, San Jose, San Luis Obispo, San Mateo, Santa Cruz, Scotts Valley and Watsonville. West Coast Community Bank is distinguished from "big banks" by its relationship-based service, problem-solving focus and direct access to decision makers. The Bank also is an SBA Preferred Lending Partner. As a full-service bank, West Coast Community Bank offers competitive deposit and lending solutions for businesses and individuals; including business loans, lines of credit, commercial real estate financing, construction lending, asset-based lending, agricultural loans, SBA and USDA government guaranteed loans, credit cards, merchant services, remote deposit capture, mobile and online banking, bill payment and treasury management. Additional information regarding the Company’s recent industry recognition, community engagement, and financial performance is included in the accompanying investor presentation and at investors.wccb.com.</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Forward-Looking Statements</w:t>
      </w:r>
    </w:p>
    <w:p>
      <w:pPr>
        <w:spacing w:after="0" w:line="155"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This release may contain statements that we believe are, or may be considered to be, “forward-looking statements” within the meaning of the Private Securities Litigation Reform Act of 1995. Forward-looking statements are neither historical facts nor assurances of future performance. Instead, they are based on our current beliefs, expectations or assumptions regarding the future of the business, future plans and strategies, operational results and other future conditions of the Company. All statements other than statements of historical fact included in this release may constitute forward-looking statements, including statements regarding the prospects of our industry or our prospects, plans, expected operating results, financial position or business strategy. In addition, forward-looking statements generally can be identified by the use of forward-looking words such as “plan,” “expect,” “look forward to,” “budget,” “scheduled,” “estimate,” “forecast,” “continue,” “intend,” “potential,” “anticipate,” “believe,” “should,” “may,” “could,” “would,” “might,” “seek,” “will,” “be taken,” “occur,” “be achieved” or the negative of these terms or variations of them or similar terms. Although we believe that the expectations reflected in these forward-looking statements are reasonable, we cannot assure you that these expectations will prove to be correct. These forward-looking statements are subject to certain known and unknown risks and uncertainties that could cause actual results to differ materially from those reflected in these forward-looking statements. Such risks and uncertainties may include but are not necessarily limited to fluctuations in interest rates (including but not limited to changes in depositor behavior and/or impacts on our core deposit intangible in relation thereto), inflation, government regulations and general economic conditions and competition within the business areas in which the Company and the Company’s clients are conducting their operations, including the impact of proposed or imposed tariffs or other trade restrictions, labor or supply chain issues, health of the real estate market in California, the Company</w:t>
      </w:r>
      <w:r>
        <w:rPr>
          <w:rFonts w:ascii="Arial" w:cs="Arial" w:eastAsia="Arial" w:hAnsi="Arial"/>
          <w:sz w:val="10"/>
          <w:szCs w:val="10"/>
          <w:color w:val="auto"/>
        </w:rPr>
        <w:t>’</w:t>
      </w:r>
      <w:r>
        <w:rPr>
          <w:rFonts w:ascii="Arial" w:cs="Arial" w:eastAsia="Arial" w:hAnsi="Arial"/>
          <w:sz w:val="12"/>
          <w:szCs w:val="12"/>
          <w:color w:val="auto"/>
        </w:rPr>
        <w:t>s ability to effectively execute its business plans, other factors beyond the Company’s control and those risks and uncertainties described in our filings with the Securities and Exchange Commission (“SEC”), which are available on the Investor Relations page of our website at investors.wccb.com and on the SEC’s website at www.sec.gov. Therefore, we caution you not to place undue reliance on any forward-looking statements contained herein, which reflect management’s opinions only as of the date hereof. Except as required by law, we undertake no obligation to revise or publicly release the results of any revision to any forward-looking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Concurrent with this earnings release, the Company issued presentation slides providing supplemental information intended to be reviewed together with this release. Slides may be viewed online at:</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investors.wccb.com.</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212121"/>
        </w:rPr>
        <w:t>MEDIA CONTACTS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Krista Snelling, Chairman and Chief Executive Officer</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Cecilia Situ, Executive Vice President and Chief Financial Officer</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investorrelations@wccb.com</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300"/>
          </w:cols>
          <w:pgMar w:left="300" w:top="670"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50"/>
        </w:trPr>
        <w:tc>
          <w:tcPr>
            <w:tcW w:w="6660" w:type="dxa"/>
            <w:vAlign w:val="bottom"/>
          </w:tcPr>
          <w:p>
            <w:pPr>
              <w:spacing w:after="0"/>
              <w:rPr>
                <w:sz w:val="20"/>
                <w:szCs w:val="20"/>
                <w:color w:val="auto"/>
              </w:rPr>
            </w:pPr>
            <w:r>
              <w:rPr>
                <w:rFonts w:ascii="Arial" w:cs="Arial" w:eastAsia="Arial" w:hAnsi="Arial"/>
                <w:sz w:val="11"/>
                <w:szCs w:val="11"/>
                <w:b w:val="1"/>
                <w:bCs w:val="1"/>
                <w:color w:val="auto"/>
              </w:rPr>
              <w:t>Consolidated Balance Sheets (Unaudited)</w:t>
            </w: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94"/>
              </w:rPr>
              <w:t>As of</w:t>
            </w: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48"/>
        </w:trPr>
        <w:tc>
          <w:tcPr>
            <w:tcW w:w="6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160"/>
              <w:spacing w:after="0"/>
              <w:rPr>
                <w:sz w:val="20"/>
                <w:szCs w:val="20"/>
                <w:color w:val="auto"/>
              </w:rPr>
            </w:pPr>
            <w:r>
              <w:rPr>
                <w:rFonts w:ascii="Arial" w:cs="Arial" w:eastAsia="Arial" w:hAnsi="Arial"/>
                <w:sz w:val="11"/>
                <w:szCs w:val="11"/>
                <w:b w:val="1"/>
                <w:bCs w:val="1"/>
                <w:color w:val="auto"/>
              </w:rPr>
              <w:t>September 30,</w:t>
            </w:r>
          </w:p>
        </w:tc>
        <w:tc>
          <w:tcPr>
            <w:tcW w:w="100" w:type="dxa"/>
            <w:vAlign w:val="bottom"/>
          </w:tcPr>
          <w:p>
            <w:pPr>
              <w:spacing w:after="0"/>
              <w:rPr>
                <w:sz w:val="12"/>
                <w:szCs w:val="12"/>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June 30,</w:t>
            </w:r>
          </w:p>
        </w:tc>
        <w:tc>
          <w:tcPr>
            <w:tcW w:w="220" w:type="dxa"/>
            <w:vAlign w:val="bottom"/>
          </w:tcPr>
          <w:p>
            <w:pPr>
              <w:spacing w:after="0"/>
              <w:rPr>
                <w:sz w:val="12"/>
                <w:szCs w:val="12"/>
                <w:color w:val="auto"/>
              </w:rPr>
            </w:pPr>
          </w:p>
        </w:tc>
        <w:tc>
          <w:tcPr>
            <w:tcW w:w="1280" w:type="dxa"/>
            <w:vAlign w:val="bottom"/>
          </w:tcPr>
          <w:p>
            <w:pPr>
              <w:jc w:val="right"/>
              <w:ind w:right="326"/>
              <w:spacing w:after="0"/>
              <w:rPr>
                <w:sz w:val="20"/>
                <w:szCs w:val="20"/>
                <w:color w:val="auto"/>
              </w:rPr>
            </w:pPr>
            <w:r>
              <w:rPr>
                <w:rFonts w:ascii="Arial" w:cs="Arial" w:eastAsia="Arial" w:hAnsi="Arial"/>
                <w:sz w:val="11"/>
                <w:szCs w:val="11"/>
                <w:b w:val="1"/>
                <w:bCs w:val="1"/>
                <w:color w:val="auto"/>
              </w:rPr>
              <w:t>September 30,</w:t>
            </w:r>
          </w:p>
        </w:tc>
      </w:tr>
      <w:tr>
        <w:trPr>
          <w:trHeight w:val="164"/>
        </w:trPr>
        <w:tc>
          <w:tcPr>
            <w:tcW w:w="6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2026</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7"/>
              </w:rPr>
              <w:t>2026</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2025</w:t>
            </w:r>
          </w:p>
        </w:tc>
      </w:tr>
      <w:tr>
        <w:trPr>
          <w:trHeight w:val="148"/>
        </w:trPr>
        <w:tc>
          <w:tcPr>
            <w:tcW w:w="6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1"/>
                <w:szCs w:val="11"/>
                <w:i w:val="1"/>
                <w:iCs w:val="1"/>
                <w:color w:val="auto"/>
                <w:w w:val="99"/>
              </w:rPr>
              <w:t>(Dollars in thousands)</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68"/>
        </w:trPr>
        <w:tc>
          <w:tcPr>
            <w:tcW w:w="6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56"/>
        </w:trPr>
        <w:tc>
          <w:tcPr>
            <w:tcW w:w="6660" w:type="dxa"/>
            <w:vAlign w:val="bottom"/>
          </w:tcPr>
          <w:p>
            <w:pPr>
              <w:ind w:left="80"/>
              <w:spacing w:after="0"/>
              <w:rPr>
                <w:sz w:val="20"/>
                <w:szCs w:val="20"/>
                <w:color w:val="auto"/>
              </w:rPr>
            </w:pPr>
            <w:r>
              <w:rPr>
                <w:rFonts w:ascii="Arial" w:cs="Arial" w:eastAsia="Arial" w:hAnsi="Arial"/>
                <w:sz w:val="11"/>
                <w:szCs w:val="11"/>
                <w:color w:val="auto"/>
              </w:rPr>
              <w:t>Cash and cash equivalents</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spacing w:after="0"/>
              <w:rPr>
                <w:sz w:val="20"/>
                <w:szCs w:val="20"/>
                <w:color w:val="auto"/>
              </w:rPr>
            </w:pPr>
            <w:r>
              <w:rPr>
                <w:rFonts w:ascii="Arial" w:cs="Arial" w:eastAsia="Arial" w:hAnsi="Arial"/>
                <w:sz w:val="11"/>
                <w:szCs w:val="11"/>
                <w:color w:val="auto"/>
              </w:rPr>
              <w:t>116,929</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146,873</w:t>
            </w:r>
          </w:p>
        </w:tc>
        <w:tc>
          <w:tcPr>
            <w:tcW w:w="10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143,504</w:t>
            </w:r>
          </w:p>
        </w:tc>
      </w:tr>
      <w:tr>
        <w:trPr>
          <w:trHeight w:val="168"/>
        </w:trPr>
        <w:tc>
          <w:tcPr>
            <w:tcW w:w="6660" w:type="dxa"/>
            <w:vAlign w:val="bottom"/>
            <w:shd w:val="clear" w:color="auto" w:fill="CCEEFF"/>
          </w:tcPr>
          <w:p>
            <w:pPr>
              <w:ind w:left="80"/>
              <w:spacing w:after="0"/>
              <w:rPr>
                <w:sz w:val="20"/>
                <w:szCs w:val="20"/>
                <w:color w:val="auto"/>
              </w:rPr>
            </w:pPr>
            <w:r>
              <w:rPr>
                <w:rFonts w:ascii="Arial" w:cs="Arial" w:eastAsia="Arial" w:hAnsi="Arial"/>
                <w:sz w:val="11"/>
                <w:szCs w:val="11"/>
                <w:color w:val="auto"/>
              </w:rPr>
              <w:t>Interest-earning deposits in other financial institutions</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249</w:t>
            </w:r>
          </w:p>
        </w:tc>
      </w:tr>
      <w:tr>
        <w:trPr>
          <w:trHeight w:val="157"/>
        </w:trPr>
        <w:tc>
          <w:tcPr>
            <w:tcW w:w="6660" w:type="dxa"/>
            <w:vAlign w:val="bottom"/>
          </w:tcPr>
          <w:p>
            <w:pPr>
              <w:ind w:left="80"/>
              <w:spacing w:after="0"/>
              <w:rPr>
                <w:sz w:val="20"/>
                <w:szCs w:val="20"/>
                <w:color w:val="auto"/>
              </w:rPr>
            </w:pPr>
            <w:r>
              <w:rPr>
                <w:rFonts w:ascii="Arial" w:cs="Arial" w:eastAsia="Arial" w:hAnsi="Arial"/>
                <w:sz w:val="11"/>
                <w:szCs w:val="11"/>
                <w:color w:val="auto"/>
              </w:rPr>
              <w:t>Investment securities available for sale, net of allowance of credit losses of $0</w:t>
            </w: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371,517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381,745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428,007</w:t>
            </w:r>
          </w:p>
        </w:tc>
      </w:tr>
      <w:tr>
        <w:trPr>
          <w:trHeight w:val="167"/>
        </w:trPr>
        <w:tc>
          <w:tcPr>
            <w:tcW w:w="6660" w:type="dxa"/>
            <w:vAlign w:val="bottom"/>
            <w:shd w:val="clear" w:color="auto" w:fill="CCEEFF"/>
          </w:tcPr>
          <w:p>
            <w:pPr>
              <w:ind w:left="80"/>
              <w:spacing w:after="0"/>
              <w:rPr>
                <w:sz w:val="20"/>
                <w:szCs w:val="20"/>
                <w:color w:val="auto"/>
              </w:rPr>
            </w:pPr>
            <w:r>
              <w:rPr>
                <w:rFonts w:ascii="Arial" w:cs="Arial" w:eastAsia="Arial" w:hAnsi="Arial"/>
                <w:sz w:val="11"/>
                <w:szCs w:val="11"/>
                <w:color w:val="auto"/>
              </w:rPr>
              <w:t>Investment securities held to maturity, net of allowance for credit losses of $0</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6,365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6,383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6,570</w:t>
            </w:r>
          </w:p>
        </w:tc>
      </w:tr>
      <w:tr>
        <w:trPr>
          <w:trHeight w:val="157"/>
        </w:trPr>
        <w:tc>
          <w:tcPr>
            <w:tcW w:w="6660" w:type="dxa"/>
            <w:vAlign w:val="bottom"/>
          </w:tcPr>
          <w:p>
            <w:pPr>
              <w:ind w:left="80"/>
              <w:spacing w:after="0"/>
              <w:rPr>
                <w:sz w:val="20"/>
                <w:szCs w:val="20"/>
                <w:color w:val="auto"/>
              </w:rPr>
            </w:pPr>
            <w:r>
              <w:rPr>
                <w:rFonts w:ascii="Arial" w:cs="Arial" w:eastAsia="Arial" w:hAnsi="Arial"/>
                <w:sz w:val="11"/>
                <w:szCs w:val="11"/>
                <w:color w:val="auto"/>
              </w:rPr>
              <w:t>Loans held for investment</w:t>
            </w: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2,336,998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2,271,406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2,127,178</w:t>
            </w:r>
          </w:p>
        </w:tc>
      </w:tr>
      <w:tr>
        <w:trPr>
          <w:trHeight w:val="162"/>
        </w:trPr>
        <w:tc>
          <w:tcPr>
            <w:tcW w:w="6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Less: Allowance for credit losses on loans</w:t>
            </w: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(36,608)</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(35,119)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(37,091)</w:t>
            </w:r>
          </w:p>
        </w:tc>
      </w:tr>
      <w:tr>
        <w:trPr>
          <w:trHeight w:val="151"/>
        </w:trPr>
        <w:tc>
          <w:tcPr>
            <w:tcW w:w="6660" w:type="dxa"/>
            <w:vAlign w:val="bottom"/>
          </w:tcPr>
          <w:p>
            <w:pPr>
              <w:ind w:left="220"/>
              <w:spacing w:after="0"/>
              <w:rPr>
                <w:sz w:val="20"/>
                <w:szCs w:val="20"/>
                <w:color w:val="auto"/>
              </w:rPr>
            </w:pPr>
            <w:r>
              <w:rPr>
                <w:rFonts w:ascii="Arial" w:cs="Arial" w:eastAsia="Arial" w:hAnsi="Arial"/>
                <w:sz w:val="11"/>
                <w:szCs w:val="11"/>
                <w:color w:val="auto"/>
              </w:rPr>
              <w:t>Loans, net of allowance</w:t>
            </w: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2,300,390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2,236,287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2,090,087</w:t>
            </w:r>
          </w:p>
        </w:tc>
      </w:tr>
      <w:tr>
        <w:trPr>
          <w:trHeight w:val="168"/>
        </w:trPr>
        <w:tc>
          <w:tcPr>
            <w:tcW w:w="6660" w:type="dxa"/>
            <w:vAlign w:val="bottom"/>
            <w:shd w:val="clear" w:color="auto" w:fill="CCEEFF"/>
          </w:tcPr>
          <w:p>
            <w:pPr>
              <w:ind w:left="80"/>
              <w:spacing w:after="0"/>
              <w:rPr>
                <w:sz w:val="20"/>
                <w:szCs w:val="20"/>
                <w:color w:val="auto"/>
              </w:rPr>
            </w:pPr>
            <w:r>
              <w:rPr>
                <w:rFonts w:ascii="Arial" w:cs="Arial" w:eastAsia="Arial" w:hAnsi="Arial"/>
                <w:sz w:val="11"/>
                <w:szCs w:val="11"/>
                <w:color w:val="auto"/>
              </w:rPr>
              <w:t>Non-marketable equity investments, at cost</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15,370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15,370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15,355</w:t>
            </w:r>
          </w:p>
        </w:tc>
      </w:tr>
      <w:tr>
        <w:trPr>
          <w:trHeight w:val="156"/>
        </w:trPr>
        <w:tc>
          <w:tcPr>
            <w:tcW w:w="6660" w:type="dxa"/>
            <w:vAlign w:val="bottom"/>
          </w:tcPr>
          <w:p>
            <w:pPr>
              <w:ind w:left="80"/>
              <w:spacing w:after="0"/>
              <w:rPr>
                <w:sz w:val="20"/>
                <w:szCs w:val="20"/>
                <w:color w:val="auto"/>
              </w:rPr>
            </w:pPr>
            <w:r>
              <w:rPr>
                <w:rFonts w:ascii="Arial" w:cs="Arial" w:eastAsia="Arial" w:hAnsi="Arial"/>
                <w:sz w:val="11"/>
                <w:szCs w:val="11"/>
                <w:color w:val="auto"/>
              </w:rPr>
              <w:t>Premises and equipment, net</w:t>
            </w: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10,677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10,814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10,206</w:t>
            </w:r>
          </w:p>
        </w:tc>
      </w:tr>
      <w:tr>
        <w:trPr>
          <w:trHeight w:val="168"/>
        </w:trPr>
        <w:tc>
          <w:tcPr>
            <w:tcW w:w="6660" w:type="dxa"/>
            <w:vAlign w:val="bottom"/>
            <w:shd w:val="clear" w:color="auto" w:fill="CCEEFF"/>
          </w:tcPr>
          <w:p>
            <w:pPr>
              <w:ind w:left="80"/>
              <w:spacing w:after="0"/>
              <w:rPr>
                <w:sz w:val="20"/>
                <w:szCs w:val="20"/>
                <w:color w:val="auto"/>
              </w:rPr>
            </w:pPr>
            <w:r>
              <w:rPr>
                <w:rFonts w:ascii="Arial" w:cs="Arial" w:eastAsia="Arial" w:hAnsi="Arial"/>
                <w:sz w:val="11"/>
                <w:szCs w:val="11"/>
                <w:color w:val="auto"/>
              </w:rPr>
              <w:t>Goodwill</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40,054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40,054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40,054</w:t>
            </w:r>
          </w:p>
        </w:tc>
      </w:tr>
      <w:tr>
        <w:trPr>
          <w:trHeight w:val="157"/>
        </w:trPr>
        <w:tc>
          <w:tcPr>
            <w:tcW w:w="6660" w:type="dxa"/>
            <w:vAlign w:val="bottom"/>
          </w:tcPr>
          <w:p>
            <w:pPr>
              <w:ind w:left="80"/>
              <w:spacing w:after="0"/>
              <w:rPr>
                <w:sz w:val="20"/>
                <w:szCs w:val="20"/>
                <w:color w:val="auto"/>
              </w:rPr>
            </w:pPr>
            <w:r>
              <w:rPr>
                <w:rFonts w:ascii="Arial" w:cs="Arial" w:eastAsia="Arial" w:hAnsi="Arial"/>
                <w:sz w:val="11"/>
                <w:szCs w:val="11"/>
                <w:color w:val="auto"/>
              </w:rPr>
              <w:t>Core deposit intangible asset, net</w:t>
            </w: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20,899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21,885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24,849</w:t>
            </w:r>
          </w:p>
        </w:tc>
      </w:tr>
      <w:tr>
        <w:trPr>
          <w:trHeight w:val="167"/>
        </w:trPr>
        <w:tc>
          <w:tcPr>
            <w:tcW w:w="6660" w:type="dxa"/>
            <w:vAlign w:val="bottom"/>
            <w:shd w:val="clear" w:color="auto" w:fill="CCEEFF"/>
          </w:tcPr>
          <w:p>
            <w:pPr>
              <w:ind w:left="80"/>
              <w:spacing w:after="0"/>
              <w:rPr>
                <w:sz w:val="20"/>
                <w:szCs w:val="20"/>
                <w:color w:val="auto"/>
              </w:rPr>
            </w:pPr>
            <w:r>
              <w:rPr>
                <w:rFonts w:ascii="Arial" w:cs="Arial" w:eastAsia="Arial" w:hAnsi="Arial"/>
                <w:sz w:val="11"/>
                <w:szCs w:val="11"/>
                <w:color w:val="auto"/>
              </w:rPr>
              <w:t>Bank-owned life insurance</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30,105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29,897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28,097</w:t>
            </w:r>
          </w:p>
        </w:tc>
      </w:tr>
      <w:tr>
        <w:trPr>
          <w:trHeight w:val="157"/>
        </w:trPr>
        <w:tc>
          <w:tcPr>
            <w:tcW w:w="666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Accrued interest receivable and other assets</w:t>
            </w: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71,178</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55,797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51,193</w:t>
            </w:r>
          </w:p>
        </w:tc>
      </w:tr>
      <w:tr>
        <w:trPr>
          <w:trHeight w:val="173"/>
        </w:trPr>
        <w:tc>
          <w:tcPr>
            <w:tcW w:w="6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 assets</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2,983,584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2,945,205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2,838,171</w:t>
            </w:r>
          </w:p>
        </w:tc>
      </w:tr>
      <w:tr>
        <w:trPr>
          <w:trHeight w:val="126"/>
        </w:trPr>
        <w:tc>
          <w:tcPr>
            <w:tcW w:w="6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62"/>
        </w:trPr>
        <w:tc>
          <w:tcPr>
            <w:tcW w:w="6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57"/>
        </w:trPr>
        <w:tc>
          <w:tcPr>
            <w:tcW w:w="6660" w:type="dxa"/>
            <w:vAlign w:val="bottom"/>
          </w:tcPr>
          <w:p>
            <w:pPr>
              <w:ind w:left="80"/>
              <w:spacing w:after="0"/>
              <w:rPr>
                <w:sz w:val="20"/>
                <w:szCs w:val="20"/>
                <w:color w:val="auto"/>
              </w:rPr>
            </w:pPr>
            <w:r>
              <w:rPr>
                <w:rFonts w:ascii="Arial" w:cs="Arial" w:eastAsia="Arial" w:hAnsi="Arial"/>
                <w:sz w:val="11"/>
                <w:szCs w:val="11"/>
                <w:color w:val="auto"/>
              </w:rPr>
              <w:t>Deposits</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8"/>
        </w:trPr>
        <w:tc>
          <w:tcPr>
            <w:tcW w:w="6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Noninterest-bearing</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996,593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1,002,579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1,058,787</w:t>
            </w:r>
          </w:p>
        </w:tc>
      </w:tr>
      <w:tr>
        <w:trPr>
          <w:trHeight w:val="157"/>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Interest-bearing</w:t>
            </w: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1,558,592</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1,520,114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1,377,310</w:t>
            </w:r>
          </w:p>
        </w:tc>
      </w:tr>
      <w:tr>
        <w:trPr>
          <w:trHeight w:val="156"/>
        </w:trPr>
        <w:tc>
          <w:tcPr>
            <w:tcW w:w="66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Total deposits</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2,555,185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2,522,693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2,436,097</w:t>
            </w:r>
          </w:p>
        </w:tc>
      </w:tr>
      <w:tr>
        <w:trPr>
          <w:trHeight w:val="144"/>
        </w:trPr>
        <w:tc>
          <w:tcPr>
            <w:tcW w:w="6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62"/>
        </w:trPr>
        <w:tc>
          <w:tcPr>
            <w:tcW w:w="666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Subordinated debentures</w:t>
            </w: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11,092</w:t>
            </w:r>
          </w:p>
        </w:tc>
      </w:tr>
      <w:tr>
        <w:trPr>
          <w:trHeight w:val="157"/>
        </w:trPr>
        <w:tc>
          <w:tcPr>
            <w:tcW w:w="666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Accrued interest payable and other liabilities</w:t>
            </w: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25,809</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24,024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22,486</w:t>
            </w:r>
          </w:p>
        </w:tc>
      </w:tr>
      <w:tr>
        <w:trPr>
          <w:trHeight w:val="151"/>
        </w:trPr>
        <w:tc>
          <w:tcPr>
            <w:tcW w:w="66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Total liabilities</w:t>
            </w:r>
          </w:p>
        </w:tc>
        <w:tc>
          <w:tcPr>
            <w:tcW w:w="2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2,580,994</w:t>
            </w: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2,546,717</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2,469,675</w:t>
            </w:r>
          </w:p>
        </w:tc>
      </w:tr>
      <w:tr>
        <w:trPr>
          <w:trHeight w:val="129"/>
        </w:trPr>
        <w:tc>
          <w:tcPr>
            <w:tcW w:w="6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62"/>
        </w:trPr>
        <w:tc>
          <w:tcPr>
            <w:tcW w:w="6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SHAREHOLDERS' EQUITY</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56"/>
        </w:trPr>
        <w:tc>
          <w:tcPr>
            <w:tcW w:w="6660" w:type="dxa"/>
            <w:vAlign w:val="bottom"/>
          </w:tcPr>
          <w:p>
            <w:pPr>
              <w:ind w:left="80"/>
              <w:spacing w:after="0"/>
              <w:rPr>
                <w:sz w:val="20"/>
                <w:szCs w:val="20"/>
                <w:color w:val="auto"/>
              </w:rPr>
            </w:pPr>
            <w:r>
              <w:rPr>
                <w:rFonts w:ascii="Arial" w:cs="Arial" w:eastAsia="Arial" w:hAnsi="Arial"/>
                <w:sz w:val="11"/>
                <w:szCs w:val="11"/>
                <w:color w:val="auto"/>
              </w:rPr>
              <w:t>Preferred stock, no par value; 10,000,000 shares authorized; no shares issued or outstanding</w:t>
            </w:r>
          </w:p>
        </w:tc>
        <w:tc>
          <w:tcPr>
            <w:tcW w:w="22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41"/>
        </w:trPr>
        <w:tc>
          <w:tcPr>
            <w:tcW w:w="6660" w:type="dxa"/>
            <w:vAlign w:val="bottom"/>
            <w:shd w:val="clear" w:color="auto" w:fill="CCEEFF"/>
          </w:tcPr>
          <w:p>
            <w:pPr>
              <w:ind w:left="80"/>
              <w:spacing w:after="0"/>
              <w:rPr>
                <w:sz w:val="20"/>
                <w:szCs w:val="20"/>
                <w:color w:val="auto"/>
              </w:rPr>
            </w:pPr>
            <w:r>
              <w:rPr>
                <w:rFonts w:ascii="Arial" w:cs="Arial" w:eastAsia="Arial" w:hAnsi="Arial"/>
                <w:sz w:val="11"/>
                <w:szCs w:val="11"/>
                <w:color w:val="auto"/>
                <w:w w:val="99"/>
              </w:rPr>
              <w:t>Common stock, no par value; 30,000,000 shares authorized; 10,524,552, 10,513,743, and 10,537,167 outstanding as of September 30,</w:t>
            </w: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62"/>
        </w:trPr>
        <w:tc>
          <w:tcPr>
            <w:tcW w:w="6660" w:type="dxa"/>
            <w:vAlign w:val="bottom"/>
            <w:shd w:val="clear" w:color="auto" w:fill="CCEEFF"/>
          </w:tcPr>
          <w:p>
            <w:pPr>
              <w:ind w:left="80"/>
              <w:spacing w:after="0"/>
              <w:rPr>
                <w:sz w:val="20"/>
                <w:szCs w:val="20"/>
                <w:color w:val="auto"/>
              </w:rPr>
            </w:pPr>
            <w:r>
              <w:rPr>
                <w:rFonts w:ascii="Arial" w:cs="Arial" w:eastAsia="Arial" w:hAnsi="Arial"/>
                <w:sz w:val="11"/>
                <w:szCs w:val="11"/>
                <w:color w:val="auto"/>
              </w:rPr>
              <w:t>2026, June 30, 2026, and September 30, 2025, respectively</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200,013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199,528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203,493</w:t>
            </w:r>
          </w:p>
        </w:tc>
      </w:tr>
      <w:tr>
        <w:trPr>
          <w:trHeight w:val="157"/>
        </w:trPr>
        <w:tc>
          <w:tcPr>
            <w:tcW w:w="6660" w:type="dxa"/>
            <w:vAlign w:val="bottom"/>
          </w:tcPr>
          <w:p>
            <w:pPr>
              <w:ind w:left="80"/>
              <w:spacing w:after="0"/>
              <w:rPr>
                <w:sz w:val="20"/>
                <w:szCs w:val="20"/>
                <w:color w:val="auto"/>
              </w:rPr>
            </w:pPr>
            <w:r>
              <w:rPr>
                <w:rFonts w:ascii="Arial" w:cs="Arial" w:eastAsia="Arial" w:hAnsi="Arial"/>
                <w:sz w:val="11"/>
                <w:szCs w:val="11"/>
                <w:color w:val="auto"/>
              </w:rPr>
              <w:t>Retained earnings</w:t>
            </w: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218,780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204,667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170,992</w:t>
            </w:r>
          </w:p>
        </w:tc>
      </w:tr>
      <w:tr>
        <w:trPr>
          <w:trHeight w:val="162"/>
        </w:trPr>
        <w:tc>
          <w:tcPr>
            <w:tcW w:w="6660" w:type="dxa"/>
            <w:vAlign w:val="bottom"/>
            <w:shd w:val="clear" w:color="auto" w:fill="CCEEFF"/>
          </w:tcPr>
          <w:p>
            <w:pPr>
              <w:ind w:left="80"/>
              <w:spacing w:after="0"/>
              <w:rPr>
                <w:sz w:val="20"/>
                <w:szCs w:val="20"/>
                <w:color w:val="auto"/>
              </w:rPr>
            </w:pPr>
            <w:r>
              <w:rPr>
                <w:rFonts w:ascii="Arial" w:cs="Arial" w:eastAsia="Arial" w:hAnsi="Arial"/>
                <w:sz w:val="11"/>
                <w:szCs w:val="11"/>
                <w:color w:val="auto"/>
              </w:rPr>
              <w:t>Accumulated other comprehensive loss, net of taxes</w:t>
            </w: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(16,203)</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(5,707)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(5,989)</w:t>
            </w:r>
          </w:p>
        </w:tc>
      </w:tr>
      <w:tr>
        <w:trPr>
          <w:trHeight w:val="151"/>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shareholders' equity</w:t>
            </w: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402,590</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398,488</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368,496</w:t>
            </w:r>
          </w:p>
        </w:tc>
      </w:tr>
      <w:tr>
        <w:trPr>
          <w:trHeight w:val="173"/>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liabilities and shareholders' equity</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2,983,584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2,945,205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2,838,171</w:t>
            </w:r>
          </w:p>
        </w:tc>
      </w:tr>
    </w:tbl>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00"/>
          </w:cols>
          <w:pgMar w:left="300" w:top="707" w:right="3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36"/>
        </w:trPr>
        <w:tc>
          <w:tcPr>
            <w:tcW w:w="4540" w:type="dxa"/>
            <w:vAlign w:val="bottom"/>
          </w:tcPr>
          <w:p>
            <w:pPr>
              <w:spacing w:after="0"/>
              <w:rPr>
                <w:sz w:val="20"/>
                <w:szCs w:val="20"/>
                <w:color w:val="auto"/>
              </w:rPr>
            </w:pPr>
            <w:r>
              <w:rPr>
                <w:rFonts w:ascii="Arial" w:cs="Arial" w:eastAsia="Arial" w:hAnsi="Arial"/>
                <w:sz w:val="10"/>
                <w:szCs w:val="10"/>
                <w:b w:val="1"/>
                <w:bCs w:val="1"/>
                <w:color w:val="auto"/>
              </w:rPr>
              <w:t>Consolidated Statements of Income (Unaudited)</w:t>
            </w: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5"/>
              </w:rPr>
              <w:t>For the Three Months Ended</w:t>
            </w: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0"/>
                <w:szCs w:val="10"/>
                <w:b w:val="1"/>
                <w:bCs w:val="1"/>
                <w:color w:val="auto"/>
              </w:rPr>
              <w:t>For the Nine Months Ended</w:t>
            </w:r>
          </w:p>
        </w:tc>
      </w:tr>
      <w:tr>
        <w:trPr>
          <w:trHeight w:val="136"/>
        </w:trPr>
        <w:tc>
          <w:tcPr>
            <w:tcW w:w="4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272"/>
              <w:spacing w:after="0"/>
              <w:rPr>
                <w:sz w:val="20"/>
                <w:szCs w:val="20"/>
                <w:color w:val="auto"/>
              </w:rPr>
            </w:pPr>
            <w:r>
              <w:rPr>
                <w:rFonts w:ascii="Arial" w:cs="Arial" w:eastAsia="Arial" w:hAnsi="Arial"/>
                <w:sz w:val="10"/>
                <w:szCs w:val="10"/>
                <w:b w:val="1"/>
                <w:bCs w:val="1"/>
                <w:color w:val="auto"/>
              </w:rPr>
              <w:t>September 30,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4"/>
              </w:rPr>
              <w:t>June 30,</w:t>
            </w:r>
          </w:p>
        </w:tc>
        <w:tc>
          <w:tcPr>
            <w:tcW w:w="200" w:type="dxa"/>
            <w:vAlign w:val="bottom"/>
          </w:tcPr>
          <w:p>
            <w:pPr>
              <w:spacing w:after="0"/>
              <w:rPr>
                <w:sz w:val="11"/>
                <w:szCs w:val="11"/>
                <w:color w:val="auto"/>
              </w:rPr>
            </w:pPr>
          </w:p>
        </w:tc>
        <w:tc>
          <w:tcPr>
            <w:tcW w:w="1200" w:type="dxa"/>
            <w:vAlign w:val="bottom"/>
            <w:gridSpan w:val="2"/>
          </w:tcPr>
          <w:p>
            <w:pPr>
              <w:ind w:left="140"/>
              <w:spacing w:after="0"/>
              <w:rPr>
                <w:sz w:val="20"/>
                <w:szCs w:val="20"/>
                <w:color w:val="auto"/>
              </w:rPr>
            </w:pPr>
            <w:r>
              <w:rPr>
                <w:rFonts w:ascii="Arial" w:cs="Arial" w:eastAsia="Arial" w:hAnsi="Arial"/>
                <w:sz w:val="10"/>
                <w:szCs w:val="10"/>
                <w:b w:val="1"/>
                <w:bCs w:val="1"/>
                <w:color w:val="auto"/>
              </w:rPr>
              <w:t>September 30,</w:t>
            </w:r>
          </w:p>
        </w:tc>
        <w:tc>
          <w:tcPr>
            <w:tcW w:w="320" w:type="dxa"/>
            <w:vAlign w:val="bottom"/>
          </w:tcPr>
          <w:p>
            <w:pPr>
              <w:spacing w:after="0"/>
              <w:rPr>
                <w:sz w:val="11"/>
                <w:szCs w:val="11"/>
                <w:color w:val="auto"/>
              </w:rPr>
            </w:pPr>
          </w:p>
        </w:tc>
        <w:tc>
          <w:tcPr>
            <w:tcW w:w="1080" w:type="dxa"/>
            <w:vAlign w:val="bottom"/>
            <w:gridSpan w:val="2"/>
          </w:tcPr>
          <w:p>
            <w:pPr>
              <w:ind w:left="20"/>
              <w:spacing w:after="0"/>
              <w:rPr>
                <w:sz w:val="20"/>
                <w:szCs w:val="20"/>
                <w:color w:val="auto"/>
              </w:rPr>
            </w:pPr>
            <w:r>
              <w:rPr>
                <w:rFonts w:ascii="Arial" w:cs="Arial" w:eastAsia="Arial" w:hAnsi="Arial"/>
                <w:sz w:val="10"/>
                <w:szCs w:val="10"/>
                <w:b w:val="1"/>
                <w:bCs w:val="1"/>
                <w:color w:val="auto"/>
              </w:rPr>
              <w:t>September 30,</w:t>
            </w:r>
          </w:p>
        </w:tc>
        <w:tc>
          <w:tcPr>
            <w:tcW w:w="200" w:type="dxa"/>
            <w:vAlign w:val="bottom"/>
          </w:tcPr>
          <w:p>
            <w:pPr>
              <w:spacing w:after="0"/>
              <w:rPr>
                <w:sz w:val="11"/>
                <w:szCs w:val="11"/>
                <w:color w:val="auto"/>
              </w:rPr>
            </w:pPr>
          </w:p>
        </w:tc>
        <w:tc>
          <w:tcPr>
            <w:tcW w:w="1140" w:type="dxa"/>
            <w:vAlign w:val="bottom"/>
          </w:tcPr>
          <w:p>
            <w:pPr>
              <w:jc w:val="right"/>
              <w:ind w:right="292"/>
              <w:spacing w:after="0"/>
              <w:rPr>
                <w:sz w:val="20"/>
                <w:szCs w:val="20"/>
                <w:color w:val="auto"/>
              </w:rPr>
            </w:pPr>
            <w:r>
              <w:rPr>
                <w:rFonts w:ascii="Arial" w:cs="Arial" w:eastAsia="Arial" w:hAnsi="Arial"/>
                <w:sz w:val="10"/>
                <w:szCs w:val="10"/>
                <w:b w:val="1"/>
                <w:bCs w:val="1"/>
                <w:color w:val="auto"/>
              </w:rPr>
              <w:t>September 30,</w:t>
            </w:r>
          </w:p>
        </w:tc>
      </w:tr>
      <w:tr>
        <w:trPr>
          <w:trHeight w:val="159"/>
        </w:trPr>
        <w:tc>
          <w:tcPr>
            <w:tcW w:w="45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72"/>
              <w:spacing w:after="0"/>
              <w:rPr>
                <w:sz w:val="20"/>
                <w:szCs w:val="20"/>
                <w:color w:val="auto"/>
              </w:rPr>
            </w:pPr>
            <w:r>
              <w:rPr>
                <w:rFonts w:ascii="Arial" w:cs="Arial" w:eastAsia="Arial" w:hAnsi="Arial"/>
                <w:sz w:val="10"/>
                <w:szCs w:val="10"/>
                <w:b w:val="1"/>
                <w:bCs w:val="1"/>
                <w:color w:val="auto"/>
                <w:w w:val="98"/>
              </w:rPr>
              <w:t>2026</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b w:val="1"/>
                <w:bCs w:val="1"/>
                <w:color w:val="auto"/>
              </w:rPr>
              <w:t>2026</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b w:val="1"/>
                <w:bCs w:val="1"/>
                <w:color w:val="auto"/>
              </w:rPr>
              <w:t>2025</w:t>
            </w:r>
          </w:p>
        </w:tc>
      </w:tr>
      <w:tr>
        <w:trPr>
          <w:trHeight w:val="140"/>
        </w:trPr>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20" w:type="dxa"/>
            <w:vAlign w:val="bottom"/>
            <w:gridSpan w:val="6"/>
          </w:tcPr>
          <w:p>
            <w:pPr>
              <w:jc w:val="right"/>
              <w:spacing w:after="0"/>
              <w:rPr>
                <w:sz w:val="20"/>
                <w:szCs w:val="20"/>
                <w:color w:val="auto"/>
              </w:rPr>
            </w:pPr>
            <w:r>
              <w:rPr>
                <w:rFonts w:ascii="Arial" w:cs="Arial" w:eastAsia="Arial" w:hAnsi="Arial"/>
                <w:sz w:val="10"/>
                <w:szCs w:val="10"/>
                <w:i w:val="1"/>
                <w:iCs w:val="1"/>
                <w:color w:val="auto"/>
              </w:rPr>
              <w:t>(Dollars in thousands, except per share data)</w:t>
            </w: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1"/>
        </w:trPr>
        <w:tc>
          <w:tcPr>
            <w:tcW w:w="45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Interest Income</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46"/>
        </w:trPr>
        <w:tc>
          <w:tcPr>
            <w:tcW w:w="4540" w:type="dxa"/>
            <w:vAlign w:val="bottom"/>
          </w:tcPr>
          <w:p>
            <w:pPr>
              <w:ind w:left="80"/>
              <w:spacing w:after="0"/>
              <w:rPr>
                <w:sz w:val="20"/>
                <w:szCs w:val="20"/>
                <w:color w:val="auto"/>
              </w:rPr>
            </w:pPr>
            <w:r>
              <w:rPr>
                <w:rFonts w:ascii="Arial" w:cs="Arial" w:eastAsia="Arial" w:hAnsi="Arial"/>
                <w:sz w:val="10"/>
                <w:szCs w:val="10"/>
                <w:color w:val="auto"/>
              </w:rPr>
              <w:t>Loans, including fees</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40,568</w:t>
            </w:r>
          </w:p>
        </w:tc>
        <w:tc>
          <w:tcPr>
            <w:tcW w:w="3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38,562</w:t>
            </w:r>
          </w:p>
        </w:tc>
        <w:tc>
          <w:tcPr>
            <w:tcW w:w="8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38,334</w:t>
            </w:r>
          </w:p>
        </w:tc>
        <w:tc>
          <w:tcPr>
            <w:tcW w:w="80" w:type="dxa"/>
            <w:vAlign w:val="bottom"/>
          </w:tcPr>
          <w:p>
            <w:pPr>
              <w:spacing w:after="0"/>
              <w:rPr>
                <w:sz w:val="12"/>
                <w:szCs w:val="12"/>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116,235</w:t>
            </w:r>
          </w:p>
        </w:tc>
        <w:tc>
          <w:tcPr>
            <w:tcW w:w="6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112,288</w:t>
            </w:r>
          </w:p>
        </w:tc>
      </w:tr>
      <w:tr>
        <w:trPr>
          <w:trHeight w:val="160"/>
        </w:trPr>
        <w:tc>
          <w:tcPr>
            <w:tcW w:w="4540" w:type="dxa"/>
            <w:vAlign w:val="bottom"/>
            <w:shd w:val="clear" w:color="auto" w:fill="CCEEFF"/>
          </w:tcPr>
          <w:p>
            <w:pPr>
              <w:ind w:left="80"/>
              <w:spacing w:after="0"/>
              <w:rPr>
                <w:sz w:val="20"/>
                <w:szCs w:val="20"/>
                <w:color w:val="auto"/>
              </w:rPr>
            </w:pPr>
            <w:r>
              <w:rPr>
                <w:rFonts w:ascii="Arial" w:cs="Arial" w:eastAsia="Arial" w:hAnsi="Arial"/>
                <w:sz w:val="10"/>
                <w:szCs w:val="10"/>
                <w:color w:val="auto"/>
              </w:rPr>
              <w:t>Interest-earning deposits in other financial institutions</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1,386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1,284</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3,646</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1,734</w:t>
            </w:r>
          </w:p>
        </w:tc>
      </w:tr>
      <w:tr>
        <w:trPr>
          <w:trHeight w:val="146"/>
        </w:trPr>
        <w:tc>
          <w:tcPr>
            <w:tcW w:w="4540" w:type="dxa"/>
            <w:vAlign w:val="bottom"/>
          </w:tcPr>
          <w:p>
            <w:pPr>
              <w:ind w:left="80"/>
              <w:spacing w:after="0"/>
              <w:rPr>
                <w:sz w:val="20"/>
                <w:szCs w:val="20"/>
                <w:color w:val="auto"/>
              </w:rPr>
            </w:pPr>
            <w:r>
              <w:rPr>
                <w:rFonts w:ascii="Arial" w:cs="Arial" w:eastAsia="Arial" w:hAnsi="Arial"/>
                <w:sz w:val="10"/>
                <w:szCs w:val="10"/>
                <w:color w:val="auto"/>
              </w:rPr>
              <w:t>Taxable securities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3,252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2,975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2,693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9,063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7,725</w:t>
            </w:r>
          </w:p>
        </w:tc>
      </w:tr>
      <w:tr>
        <w:trPr>
          <w:trHeight w:val="153"/>
        </w:trPr>
        <w:tc>
          <w:tcPr>
            <w:tcW w:w="4540" w:type="dxa"/>
            <w:vAlign w:val="bottom"/>
            <w:shd w:val="clear" w:color="auto" w:fill="CCEEFF"/>
          </w:tcPr>
          <w:p>
            <w:pPr>
              <w:ind w:left="80"/>
              <w:spacing w:after="0"/>
              <w:rPr>
                <w:sz w:val="20"/>
                <w:szCs w:val="20"/>
                <w:color w:val="auto"/>
              </w:rPr>
            </w:pPr>
            <w:r>
              <w:rPr>
                <w:rFonts w:ascii="Arial" w:cs="Arial" w:eastAsia="Arial" w:hAnsi="Arial"/>
                <w:sz w:val="10"/>
                <w:szCs w:val="10"/>
                <w:color w:val="auto"/>
              </w:rPr>
              <w:t>Tax-exempt securities</w:t>
            </w:r>
          </w:p>
        </w:tc>
        <w:tc>
          <w:tcPr>
            <w:tcW w:w="2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456</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463</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570</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1,447</w:t>
            </w: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1,748</w:t>
            </w:r>
          </w:p>
        </w:tc>
      </w:tr>
      <w:tr>
        <w:trPr>
          <w:trHeight w:val="142"/>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Total interest income</w:t>
            </w: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45,662</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42,893</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42,881</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130,391</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123,495</w:t>
            </w:r>
          </w:p>
        </w:tc>
      </w:tr>
      <w:tr>
        <w:trPr>
          <w:trHeight w:val="140"/>
        </w:trPr>
        <w:tc>
          <w:tcPr>
            <w:tcW w:w="45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Interest Expense</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6"/>
        </w:trPr>
        <w:tc>
          <w:tcPr>
            <w:tcW w:w="4540" w:type="dxa"/>
            <w:vAlign w:val="bottom"/>
          </w:tcPr>
          <w:p>
            <w:pPr>
              <w:ind w:left="80"/>
              <w:spacing w:after="0"/>
              <w:rPr>
                <w:sz w:val="20"/>
                <w:szCs w:val="20"/>
                <w:color w:val="auto"/>
              </w:rPr>
            </w:pPr>
            <w:r>
              <w:rPr>
                <w:rFonts w:ascii="Arial" w:cs="Arial" w:eastAsia="Arial" w:hAnsi="Arial"/>
                <w:sz w:val="10"/>
                <w:szCs w:val="10"/>
                <w:color w:val="auto"/>
              </w:rPr>
              <w:t>Deposits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8,552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7,764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8,018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23,906</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22,437</w:t>
            </w:r>
          </w:p>
        </w:tc>
      </w:tr>
      <w:tr>
        <w:trPr>
          <w:trHeight w:val="160"/>
        </w:trPr>
        <w:tc>
          <w:tcPr>
            <w:tcW w:w="4540" w:type="dxa"/>
            <w:vAlign w:val="bottom"/>
            <w:shd w:val="clear" w:color="auto" w:fill="CCEEFF"/>
          </w:tcPr>
          <w:p>
            <w:pPr>
              <w:ind w:left="80"/>
              <w:spacing w:after="0"/>
              <w:rPr>
                <w:sz w:val="20"/>
                <w:szCs w:val="20"/>
                <w:color w:val="auto"/>
              </w:rPr>
            </w:pPr>
            <w:r>
              <w:rPr>
                <w:rFonts w:ascii="Arial" w:cs="Arial" w:eastAsia="Arial" w:hAnsi="Arial"/>
                <w:sz w:val="10"/>
                <w:szCs w:val="10"/>
                <w:color w:val="auto"/>
              </w:rPr>
              <w:t>Subordinated debentures</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1,991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2,155</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860</w:t>
            </w:r>
          </w:p>
        </w:tc>
      </w:tr>
      <w:tr>
        <w:trPr>
          <w:trHeight w:val="146"/>
        </w:trPr>
        <w:tc>
          <w:tcPr>
            <w:tcW w:w="4540" w:type="dxa"/>
            <w:vAlign w:val="bottom"/>
          </w:tcPr>
          <w:p>
            <w:pPr>
              <w:ind w:left="80"/>
              <w:spacing w:after="0"/>
              <w:rPr>
                <w:sz w:val="20"/>
                <w:szCs w:val="20"/>
                <w:color w:val="auto"/>
              </w:rPr>
            </w:pPr>
            <w:r>
              <w:rPr>
                <w:rFonts w:ascii="Arial" w:cs="Arial" w:eastAsia="Arial" w:hAnsi="Arial"/>
                <w:sz w:val="10"/>
                <w:szCs w:val="10"/>
                <w:color w:val="auto"/>
              </w:rPr>
              <w:t>FHLB advances and other borrowings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412</w:t>
            </w:r>
          </w:p>
        </w:tc>
      </w:tr>
      <w:tr>
        <w:trPr>
          <w:trHeight w:val="142"/>
        </w:trPr>
        <w:tc>
          <w:tcPr>
            <w:tcW w:w="45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Total interest expense</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8,552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9,755</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8,247</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26,061</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23,709</w:t>
            </w:r>
          </w:p>
        </w:tc>
      </w:tr>
      <w:tr>
        <w:trPr>
          <w:trHeight w:val="142"/>
        </w:trPr>
        <w:tc>
          <w:tcPr>
            <w:tcW w:w="4540" w:type="dxa"/>
            <w:vAlign w:val="bottom"/>
          </w:tcPr>
          <w:p>
            <w:pPr>
              <w:ind w:left="220"/>
              <w:spacing w:after="0"/>
              <w:rPr>
                <w:sz w:val="20"/>
                <w:szCs w:val="20"/>
                <w:color w:val="auto"/>
              </w:rPr>
            </w:pPr>
            <w:r>
              <w:rPr>
                <w:rFonts w:ascii="Arial" w:cs="Arial" w:eastAsia="Arial" w:hAnsi="Arial"/>
                <w:sz w:val="10"/>
                <w:szCs w:val="10"/>
                <w:color w:val="auto"/>
              </w:rPr>
              <w:t>Net interest income before provision for credit losses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37,110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33,138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34,634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104,330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99,786</w:t>
            </w:r>
          </w:p>
        </w:tc>
      </w:tr>
      <w:tr>
        <w:trPr>
          <w:trHeight w:val="160"/>
        </w:trPr>
        <w:tc>
          <w:tcPr>
            <w:tcW w:w="4540" w:type="dxa"/>
            <w:vAlign w:val="bottom"/>
            <w:shd w:val="clear" w:color="auto" w:fill="CCEEFF"/>
          </w:tcPr>
          <w:p>
            <w:pPr>
              <w:spacing w:after="0"/>
              <w:rPr>
                <w:sz w:val="20"/>
                <w:szCs w:val="20"/>
                <w:color w:val="auto"/>
              </w:rPr>
            </w:pPr>
            <w:r>
              <w:rPr>
                <w:rFonts w:ascii="Arial" w:cs="Arial" w:eastAsia="Arial" w:hAnsi="Arial"/>
                <w:sz w:val="10"/>
                <w:szCs w:val="10"/>
                <w:color w:val="auto"/>
              </w:rPr>
              <w:t>Provision for credit losses on loans</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1,386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3,540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1,533</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5,442</w:t>
            </w:r>
          </w:p>
        </w:tc>
      </w:tr>
      <w:tr>
        <w:trPr>
          <w:trHeight w:val="146"/>
        </w:trPr>
        <w:tc>
          <w:tcPr>
            <w:tcW w:w="454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(Reversal of) provision for credit losses on unfunded loan commitments</w:t>
            </w: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(268)</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128</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(371)</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w:t>
            </w:r>
          </w:p>
        </w:tc>
      </w:tr>
      <w:tr>
        <w:trPr>
          <w:trHeight w:val="149"/>
        </w:trPr>
        <w:tc>
          <w:tcPr>
            <w:tcW w:w="45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Net interest income after provision for credit losses</w:t>
            </w:r>
          </w:p>
        </w:tc>
        <w:tc>
          <w:tcPr>
            <w:tcW w:w="2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37,103</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31,624</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31,144</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103,168</w:t>
            </w: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94,294</w:t>
            </w:r>
          </w:p>
        </w:tc>
      </w:tr>
      <w:tr>
        <w:trPr>
          <w:trHeight w:val="128"/>
        </w:trPr>
        <w:tc>
          <w:tcPr>
            <w:tcW w:w="4540" w:type="dxa"/>
            <w:vAlign w:val="bottom"/>
          </w:tcPr>
          <w:p>
            <w:pPr>
              <w:spacing w:after="0"/>
              <w:rPr>
                <w:sz w:val="20"/>
                <w:szCs w:val="20"/>
                <w:color w:val="auto"/>
              </w:rPr>
            </w:pPr>
            <w:r>
              <w:rPr>
                <w:rFonts w:ascii="Arial" w:cs="Arial" w:eastAsia="Arial" w:hAnsi="Arial"/>
                <w:sz w:val="10"/>
                <w:szCs w:val="10"/>
                <w:b w:val="1"/>
                <w:bCs w:val="1"/>
                <w:color w:val="auto"/>
              </w:rPr>
              <w:t>Noninterest Income</w:t>
            </w: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59"/>
        </w:trPr>
        <w:tc>
          <w:tcPr>
            <w:tcW w:w="4540" w:type="dxa"/>
            <w:vAlign w:val="bottom"/>
            <w:shd w:val="clear" w:color="auto" w:fill="CCEEFF"/>
          </w:tcPr>
          <w:p>
            <w:pPr>
              <w:ind w:left="80"/>
              <w:spacing w:after="0"/>
              <w:rPr>
                <w:sz w:val="20"/>
                <w:szCs w:val="20"/>
                <w:color w:val="auto"/>
              </w:rPr>
            </w:pPr>
            <w:r>
              <w:rPr>
                <w:rFonts w:ascii="Arial" w:cs="Arial" w:eastAsia="Arial" w:hAnsi="Arial"/>
                <w:sz w:val="10"/>
                <w:szCs w:val="10"/>
                <w:color w:val="auto"/>
              </w:rPr>
              <w:t>Service charges on deposits</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778</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515</w:t>
            </w:r>
          </w:p>
        </w:tc>
      </w:tr>
      <w:tr>
        <w:trPr>
          <w:trHeight w:val="145"/>
        </w:trPr>
        <w:tc>
          <w:tcPr>
            <w:tcW w:w="4540" w:type="dxa"/>
            <w:vAlign w:val="bottom"/>
          </w:tcPr>
          <w:p>
            <w:pPr>
              <w:ind w:left="80"/>
              <w:spacing w:after="0"/>
              <w:rPr>
                <w:sz w:val="20"/>
                <w:szCs w:val="20"/>
                <w:color w:val="auto"/>
              </w:rPr>
            </w:pPr>
            <w:r>
              <w:rPr>
                <w:rFonts w:ascii="Arial" w:cs="Arial" w:eastAsia="Arial" w:hAnsi="Arial"/>
                <w:sz w:val="10"/>
                <w:szCs w:val="10"/>
                <w:color w:val="auto"/>
              </w:rPr>
              <w:t>Loan servicing fees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81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101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126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289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394</w:t>
            </w:r>
          </w:p>
        </w:tc>
      </w:tr>
      <w:tr>
        <w:trPr>
          <w:trHeight w:val="161"/>
        </w:trPr>
        <w:tc>
          <w:tcPr>
            <w:tcW w:w="4540" w:type="dxa"/>
            <w:vAlign w:val="bottom"/>
            <w:shd w:val="clear" w:color="auto" w:fill="CCEEFF"/>
          </w:tcPr>
          <w:p>
            <w:pPr>
              <w:ind w:left="80"/>
              <w:spacing w:after="0"/>
              <w:rPr>
                <w:sz w:val="20"/>
                <w:szCs w:val="20"/>
                <w:color w:val="auto"/>
              </w:rPr>
            </w:pPr>
            <w:r>
              <w:rPr>
                <w:rFonts w:ascii="Arial" w:cs="Arial" w:eastAsia="Arial" w:hAnsi="Arial"/>
                <w:sz w:val="10"/>
                <w:szCs w:val="10"/>
                <w:color w:val="auto"/>
              </w:rPr>
              <w:t>ATM fee income</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794</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835</w:t>
            </w:r>
          </w:p>
        </w:tc>
      </w:tr>
      <w:tr>
        <w:trPr>
          <w:trHeight w:val="145"/>
        </w:trPr>
        <w:tc>
          <w:tcPr>
            <w:tcW w:w="4540" w:type="dxa"/>
            <w:vAlign w:val="bottom"/>
          </w:tcPr>
          <w:p>
            <w:pPr>
              <w:ind w:left="80"/>
              <w:spacing w:after="0"/>
              <w:rPr>
                <w:sz w:val="20"/>
                <w:szCs w:val="20"/>
                <w:color w:val="auto"/>
              </w:rPr>
            </w:pPr>
            <w:r>
              <w:rPr>
                <w:rFonts w:ascii="Arial" w:cs="Arial" w:eastAsia="Arial" w:hAnsi="Arial"/>
                <w:sz w:val="10"/>
                <w:szCs w:val="10"/>
                <w:color w:val="auto"/>
              </w:rPr>
              <w:t>Earnings on bank-owned life insurance</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208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205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185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613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547</w:t>
            </w:r>
          </w:p>
        </w:tc>
      </w:tr>
      <w:tr>
        <w:trPr>
          <w:trHeight w:val="161"/>
        </w:trPr>
        <w:tc>
          <w:tcPr>
            <w:tcW w:w="4540" w:type="dxa"/>
            <w:vAlign w:val="bottom"/>
            <w:shd w:val="clear" w:color="auto" w:fill="CCEEFF"/>
          </w:tcPr>
          <w:p>
            <w:pPr>
              <w:ind w:left="80"/>
              <w:spacing w:after="0"/>
              <w:rPr>
                <w:sz w:val="20"/>
                <w:szCs w:val="20"/>
                <w:color w:val="auto"/>
              </w:rPr>
            </w:pPr>
            <w:r>
              <w:rPr>
                <w:rFonts w:ascii="Arial" w:cs="Arial" w:eastAsia="Arial" w:hAnsi="Arial"/>
                <w:sz w:val="10"/>
                <w:szCs w:val="10"/>
                <w:color w:val="auto"/>
              </w:rPr>
              <w:t>Dividends on non-marketable equity securities</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1,139</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856</w:t>
            </w:r>
          </w:p>
        </w:tc>
      </w:tr>
      <w:tr>
        <w:trPr>
          <w:trHeight w:val="146"/>
        </w:trPr>
        <w:tc>
          <w:tcPr>
            <w:tcW w:w="4540" w:type="dxa"/>
            <w:vAlign w:val="bottom"/>
          </w:tcPr>
          <w:p>
            <w:pPr>
              <w:ind w:left="80"/>
              <w:spacing w:after="0"/>
              <w:rPr>
                <w:sz w:val="20"/>
                <w:szCs w:val="20"/>
                <w:color w:val="auto"/>
              </w:rPr>
            </w:pPr>
            <w:r>
              <w:rPr>
                <w:rFonts w:ascii="Arial" w:cs="Arial" w:eastAsia="Arial" w:hAnsi="Arial"/>
                <w:sz w:val="10"/>
                <w:szCs w:val="10"/>
                <w:color w:val="auto"/>
              </w:rPr>
              <w:t>Loss on sale of securities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(65)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(281)</w:t>
            </w:r>
          </w:p>
        </w:tc>
      </w:tr>
      <w:tr>
        <w:trPr>
          <w:trHeight w:val="160"/>
        </w:trPr>
        <w:tc>
          <w:tcPr>
            <w:tcW w:w="4540" w:type="dxa"/>
            <w:vAlign w:val="bottom"/>
            <w:shd w:val="clear" w:color="auto" w:fill="CCEEFF"/>
          </w:tcPr>
          <w:p>
            <w:pPr>
              <w:ind w:left="80"/>
              <w:spacing w:after="0"/>
              <w:rPr>
                <w:sz w:val="20"/>
                <w:szCs w:val="20"/>
                <w:color w:val="auto"/>
              </w:rPr>
            </w:pPr>
            <w:r>
              <w:rPr>
                <w:rFonts w:ascii="Arial" w:cs="Arial" w:eastAsia="Arial" w:hAnsi="Arial"/>
                <w:sz w:val="10"/>
                <w:szCs w:val="10"/>
                <w:color w:val="auto"/>
              </w:rPr>
              <w:t>Gain on sale of loans</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912</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46"/>
        </w:trPr>
        <w:tc>
          <w:tcPr>
            <w:tcW w:w="4540" w:type="dxa"/>
            <w:vAlign w:val="bottom"/>
          </w:tcPr>
          <w:p>
            <w:pPr>
              <w:ind w:left="80"/>
              <w:spacing w:after="0"/>
              <w:rPr>
                <w:sz w:val="20"/>
                <w:szCs w:val="20"/>
                <w:color w:val="auto"/>
              </w:rPr>
            </w:pPr>
            <w:r>
              <w:rPr>
                <w:rFonts w:ascii="Arial" w:cs="Arial" w:eastAsia="Arial" w:hAnsi="Arial"/>
                <w:sz w:val="10"/>
                <w:szCs w:val="10"/>
                <w:color w:val="auto"/>
              </w:rPr>
              <w:t>Loss on sale of other assets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(26)</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3"/>
        </w:trPr>
        <w:tc>
          <w:tcPr>
            <w:tcW w:w="4540" w:type="dxa"/>
            <w:vAlign w:val="bottom"/>
            <w:shd w:val="clear" w:color="auto" w:fill="CCEEFF"/>
          </w:tcPr>
          <w:p>
            <w:pPr>
              <w:ind w:left="80"/>
              <w:spacing w:after="0"/>
              <w:rPr>
                <w:sz w:val="20"/>
                <w:szCs w:val="20"/>
                <w:color w:val="auto"/>
              </w:rPr>
            </w:pPr>
            <w:r>
              <w:rPr>
                <w:rFonts w:ascii="Arial" w:cs="Arial" w:eastAsia="Arial" w:hAnsi="Arial"/>
                <w:sz w:val="10"/>
                <w:szCs w:val="10"/>
                <w:color w:val="auto"/>
              </w:rPr>
              <w:t>Other</w:t>
            </w:r>
          </w:p>
        </w:tc>
        <w:tc>
          <w:tcPr>
            <w:tcW w:w="2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217</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247</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238</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692</w:t>
            </w: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817</w:t>
            </w:r>
          </w:p>
        </w:tc>
      </w:tr>
      <w:tr>
        <w:trPr>
          <w:trHeight w:val="142"/>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Total noninterest income</w:t>
            </w: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1,303</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1,176</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1,285</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5,189</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3,683</w:t>
            </w:r>
          </w:p>
        </w:tc>
      </w:tr>
      <w:tr>
        <w:trPr>
          <w:trHeight w:val="140"/>
        </w:trPr>
        <w:tc>
          <w:tcPr>
            <w:tcW w:w="45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Noninterest Expense</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6"/>
        </w:trPr>
        <w:tc>
          <w:tcPr>
            <w:tcW w:w="4540" w:type="dxa"/>
            <w:vAlign w:val="bottom"/>
          </w:tcPr>
          <w:p>
            <w:pPr>
              <w:ind w:left="80"/>
              <w:spacing w:after="0"/>
              <w:rPr>
                <w:sz w:val="20"/>
                <w:szCs w:val="20"/>
                <w:color w:val="auto"/>
              </w:rPr>
            </w:pPr>
            <w:r>
              <w:rPr>
                <w:rFonts w:ascii="Arial" w:cs="Arial" w:eastAsia="Arial" w:hAnsi="Arial"/>
                <w:sz w:val="10"/>
                <w:szCs w:val="10"/>
                <w:color w:val="auto"/>
              </w:rPr>
              <w:t>Salaries and employee benefits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8,660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9,114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8,300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26,312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25,538</w:t>
            </w:r>
          </w:p>
        </w:tc>
      </w:tr>
      <w:tr>
        <w:trPr>
          <w:trHeight w:val="160"/>
        </w:trPr>
        <w:tc>
          <w:tcPr>
            <w:tcW w:w="4540" w:type="dxa"/>
            <w:vAlign w:val="bottom"/>
            <w:shd w:val="clear" w:color="auto" w:fill="CCEEFF"/>
          </w:tcPr>
          <w:p>
            <w:pPr>
              <w:ind w:left="80"/>
              <w:spacing w:after="0"/>
              <w:rPr>
                <w:sz w:val="20"/>
                <w:szCs w:val="20"/>
                <w:color w:val="auto"/>
              </w:rPr>
            </w:pPr>
            <w:r>
              <w:rPr>
                <w:rFonts w:ascii="Arial" w:cs="Arial" w:eastAsia="Arial" w:hAnsi="Arial"/>
                <w:sz w:val="10"/>
                <w:szCs w:val="10"/>
                <w:color w:val="auto"/>
              </w:rPr>
              <w:t>Occupancy</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2,711</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2,517</w:t>
            </w:r>
          </w:p>
        </w:tc>
      </w:tr>
      <w:tr>
        <w:trPr>
          <w:trHeight w:val="146"/>
        </w:trPr>
        <w:tc>
          <w:tcPr>
            <w:tcW w:w="4540" w:type="dxa"/>
            <w:vAlign w:val="bottom"/>
          </w:tcPr>
          <w:p>
            <w:pPr>
              <w:ind w:left="80"/>
              <w:spacing w:after="0"/>
              <w:rPr>
                <w:sz w:val="20"/>
                <w:szCs w:val="20"/>
                <w:color w:val="auto"/>
              </w:rPr>
            </w:pPr>
            <w:r>
              <w:rPr>
                <w:rFonts w:ascii="Arial" w:cs="Arial" w:eastAsia="Arial" w:hAnsi="Arial"/>
                <w:sz w:val="10"/>
                <w:szCs w:val="10"/>
                <w:color w:val="auto"/>
              </w:rPr>
              <w:t>Furniture and equipment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1,063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1,108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888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3,192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2,705</w:t>
            </w:r>
          </w:p>
        </w:tc>
      </w:tr>
      <w:tr>
        <w:trPr>
          <w:trHeight w:val="161"/>
        </w:trPr>
        <w:tc>
          <w:tcPr>
            <w:tcW w:w="4540" w:type="dxa"/>
            <w:vAlign w:val="bottom"/>
            <w:shd w:val="clear" w:color="auto" w:fill="CCEEFF"/>
          </w:tcPr>
          <w:p>
            <w:pPr>
              <w:ind w:left="80"/>
              <w:spacing w:after="0"/>
              <w:rPr>
                <w:sz w:val="20"/>
                <w:szCs w:val="20"/>
                <w:color w:val="auto"/>
              </w:rPr>
            </w:pPr>
            <w:r>
              <w:rPr>
                <w:rFonts w:ascii="Arial" w:cs="Arial" w:eastAsia="Arial" w:hAnsi="Arial"/>
                <w:sz w:val="10"/>
                <w:szCs w:val="10"/>
                <w:color w:val="auto"/>
              </w:rPr>
              <w:t>Marketing, business development and shareholder-related expense</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1,066</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1,440</w:t>
            </w:r>
          </w:p>
        </w:tc>
      </w:tr>
      <w:tr>
        <w:trPr>
          <w:trHeight w:val="145"/>
        </w:trPr>
        <w:tc>
          <w:tcPr>
            <w:tcW w:w="4540" w:type="dxa"/>
            <w:vAlign w:val="bottom"/>
          </w:tcPr>
          <w:p>
            <w:pPr>
              <w:ind w:left="80"/>
              <w:spacing w:after="0"/>
              <w:rPr>
                <w:sz w:val="20"/>
                <w:szCs w:val="20"/>
                <w:color w:val="auto"/>
              </w:rPr>
            </w:pPr>
            <w:r>
              <w:rPr>
                <w:rFonts w:ascii="Arial" w:cs="Arial" w:eastAsia="Arial" w:hAnsi="Arial"/>
                <w:sz w:val="10"/>
                <w:szCs w:val="10"/>
                <w:color w:val="auto"/>
              </w:rPr>
              <w:t>Data and item processing</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816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438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698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1,736</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2,069</w:t>
            </w:r>
          </w:p>
        </w:tc>
      </w:tr>
      <w:tr>
        <w:trPr>
          <w:trHeight w:val="161"/>
        </w:trPr>
        <w:tc>
          <w:tcPr>
            <w:tcW w:w="4540" w:type="dxa"/>
            <w:vAlign w:val="bottom"/>
            <w:shd w:val="clear" w:color="auto" w:fill="CCEEFF"/>
          </w:tcPr>
          <w:p>
            <w:pPr>
              <w:ind w:left="80"/>
              <w:spacing w:after="0"/>
              <w:rPr>
                <w:sz w:val="20"/>
                <w:szCs w:val="20"/>
                <w:color w:val="auto"/>
              </w:rPr>
            </w:pPr>
            <w:r>
              <w:rPr>
                <w:rFonts w:ascii="Arial" w:cs="Arial" w:eastAsia="Arial" w:hAnsi="Arial"/>
                <w:sz w:val="10"/>
                <w:szCs w:val="10"/>
                <w:color w:val="auto"/>
              </w:rPr>
              <w:t>Regulatory assessments, including federal deposit insurance</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1,188</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1,160</w:t>
            </w:r>
          </w:p>
        </w:tc>
      </w:tr>
      <w:tr>
        <w:trPr>
          <w:trHeight w:val="145"/>
        </w:trPr>
        <w:tc>
          <w:tcPr>
            <w:tcW w:w="4540" w:type="dxa"/>
            <w:vAlign w:val="bottom"/>
          </w:tcPr>
          <w:p>
            <w:pPr>
              <w:ind w:left="80"/>
              <w:spacing w:after="0"/>
              <w:rPr>
                <w:sz w:val="20"/>
                <w:szCs w:val="20"/>
                <w:color w:val="auto"/>
              </w:rPr>
            </w:pPr>
            <w:r>
              <w:rPr>
                <w:rFonts w:ascii="Arial" w:cs="Arial" w:eastAsia="Arial" w:hAnsi="Arial"/>
                <w:sz w:val="10"/>
                <w:szCs w:val="10"/>
                <w:color w:val="auto"/>
              </w:rPr>
              <w:t>Amortization of core deposit intangibles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986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987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1,068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2,959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3,202</w:t>
            </w:r>
          </w:p>
        </w:tc>
      </w:tr>
      <w:tr>
        <w:trPr>
          <w:trHeight w:val="161"/>
        </w:trPr>
        <w:tc>
          <w:tcPr>
            <w:tcW w:w="4540" w:type="dxa"/>
            <w:vAlign w:val="bottom"/>
            <w:shd w:val="clear" w:color="auto" w:fill="CCEEFF"/>
          </w:tcPr>
          <w:p>
            <w:pPr>
              <w:ind w:left="80"/>
              <w:spacing w:after="0"/>
              <w:rPr>
                <w:sz w:val="20"/>
                <w:szCs w:val="20"/>
                <w:color w:val="auto"/>
              </w:rPr>
            </w:pPr>
            <w:r>
              <w:rPr>
                <w:rFonts w:ascii="Arial" w:cs="Arial" w:eastAsia="Arial" w:hAnsi="Arial"/>
                <w:sz w:val="10"/>
                <w:szCs w:val="10"/>
                <w:color w:val="auto"/>
              </w:rPr>
              <w:t>Professional fees</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2,475</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1,358</w:t>
            </w:r>
          </w:p>
        </w:tc>
      </w:tr>
      <w:tr>
        <w:trPr>
          <w:trHeight w:val="145"/>
        </w:trPr>
        <w:tc>
          <w:tcPr>
            <w:tcW w:w="4540" w:type="dxa"/>
            <w:vAlign w:val="bottom"/>
          </w:tcPr>
          <w:p>
            <w:pPr>
              <w:ind w:left="80"/>
              <w:spacing w:after="0"/>
              <w:rPr>
                <w:sz w:val="20"/>
                <w:szCs w:val="20"/>
                <w:color w:val="auto"/>
              </w:rPr>
            </w:pPr>
            <w:r>
              <w:rPr>
                <w:rFonts w:ascii="Arial" w:cs="Arial" w:eastAsia="Arial" w:hAnsi="Arial"/>
                <w:sz w:val="10"/>
                <w:szCs w:val="10"/>
                <w:color w:val="auto"/>
              </w:rPr>
              <w:t>Acquisition-related expense</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150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497</w:t>
            </w:r>
          </w:p>
        </w:tc>
      </w:tr>
      <w:tr>
        <w:trPr>
          <w:trHeight w:val="153"/>
        </w:trPr>
        <w:tc>
          <w:tcPr>
            <w:tcW w:w="4540" w:type="dxa"/>
            <w:vAlign w:val="bottom"/>
            <w:shd w:val="clear" w:color="auto" w:fill="CCEEFF"/>
          </w:tcPr>
          <w:p>
            <w:pPr>
              <w:ind w:left="80"/>
              <w:spacing w:after="0"/>
              <w:rPr>
                <w:sz w:val="20"/>
                <w:szCs w:val="20"/>
                <w:color w:val="auto"/>
              </w:rPr>
            </w:pPr>
            <w:r>
              <w:rPr>
                <w:rFonts w:ascii="Arial" w:cs="Arial" w:eastAsia="Arial" w:hAnsi="Arial"/>
                <w:sz w:val="10"/>
                <w:szCs w:val="10"/>
                <w:color w:val="auto"/>
              </w:rPr>
              <w:t>Other</w:t>
            </w:r>
          </w:p>
        </w:tc>
        <w:tc>
          <w:tcPr>
            <w:tcW w:w="2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2,215</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2,083</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2,073</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6,519</w:t>
            </w: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5,950</w:t>
            </w:r>
          </w:p>
        </w:tc>
      </w:tr>
      <w:tr>
        <w:trPr>
          <w:trHeight w:val="142"/>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Total noninterest expense</w:t>
            </w: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16,254</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15,868</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15,491</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48,158</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46,436</w:t>
            </w:r>
          </w:p>
        </w:tc>
      </w:tr>
      <w:tr>
        <w:trPr>
          <w:trHeight w:val="95"/>
        </w:trPr>
        <w:tc>
          <w:tcPr>
            <w:tcW w:w="4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r>
      <w:tr>
        <w:trPr>
          <w:trHeight w:val="145"/>
        </w:trPr>
        <w:tc>
          <w:tcPr>
            <w:tcW w:w="4540" w:type="dxa"/>
            <w:vAlign w:val="bottom"/>
          </w:tcPr>
          <w:p>
            <w:pPr>
              <w:spacing w:after="0"/>
              <w:rPr>
                <w:sz w:val="20"/>
                <w:szCs w:val="20"/>
                <w:color w:val="auto"/>
              </w:rPr>
            </w:pPr>
            <w:r>
              <w:rPr>
                <w:rFonts w:ascii="Arial" w:cs="Arial" w:eastAsia="Arial" w:hAnsi="Arial"/>
                <w:sz w:val="10"/>
                <w:szCs w:val="10"/>
                <w:color w:val="auto"/>
              </w:rPr>
              <w:t>Income before income taxes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22,152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16,932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16,938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60,199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51,541</w:t>
            </w:r>
          </w:p>
        </w:tc>
      </w:tr>
      <w:tr>
        <w:trPr>
          <w:trHeight w:val="153"/>
        </w:trPr>
        <w:tc>
          <w:tcPr>
            <w:tcW w:w="4540" w:type="dxa"/>
            <w:vAlign w:val="bottom"/>
            <w:shd w:val="clear" w:color="auto" w:fill="CCEEFF"/>
          </w:tcPr>
          <w:p>
            <w:pPr>
              <w:spacing w:after="0"/>
              <w:rPr>
                <w:sz w:val="20"/>
                <w:szCs w:val="20"/>
                <w:color w:val="auto"/>
              </w:rPr>
            </w:pPr>
            <w:r>
              <w:rPr>
                <w:rFonts w:ascii="Arial" w:cs="Arial" w:eastAsia="Arial" w:hAnsi="Arial"/>
                <w:sz w:val="10"/>
                <w:szCs w:val="10"/>
                <w:color w:val="auto"/>
              </w:rPr>
              <w:t>Income tax expense</w:t>
            </w:r>
          </w:p>
        </w:tc>
        <w:tc>
          <w:tcPr>
            <w:tcW w:w="2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5,412</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4,771</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4,877</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16,311</w:t>
            </w: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14,884</w:t>
            </w:r>
          </w:p>
        </w:tc>
      </w:tr>
      <w:tr>
        <w:trPr>
          <w:trHeight w:val="165"/>
        </w:trPr>
        <w:tc>
          <w:tcPr>
            <w:tcW w:w="4540" w:type="dxa"/>
            <w:vAlign w:val="bottom"/>
          </w:tcPr>
          <w:p>
            <w:pPr>
              <w:ind w:left="140"/>
              <w:spacing w:after="0"/>
              <w:rPr>
                <w:sz w:val="20"/>
                <w:szCs w:val="20"/>
                <w:color w:val="auto"/>
              </w:rPr>
            </w:pPr>
            <w:r>
              <w:rPr>
                <w:rFonts w:ascii="Arial" w:cs="Arial" w:eastAsia="Arial" w:hAnsi="Arial"/>
                <w:sz w:val="10"/>
                <w:szCs w:val="10"/>
                <w:color w:val="auto"/>
              </w:rPr>
              <w:t>Net income</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16,740</w:t>
            </w:r>
          </w:p>
        </w:tc>
        <w:tc>
          <w:tcPr>
            <w:tcW w:w="3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12,161</w:t>
            </w:r>
          </w:p>
        </w:tc>
        <w:tc>
          <w:tcPr>
            <w:tcW w:w="8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12,061</w:t>
            </w:r>
          </w:p>
        </w:tc>
        <w:tc>
          <w:tcPr>
            <w:tcW w:w="80" w:type="dxa"/>
            <w:vAlign w:val="bottom"/>
          </w:tcPr>
          <w:p>
            <w:pPr>
              <w:spacing w:after="0"/>
              <w:rPr>
                <w:sz w:val="14"/>
                <w:szCs w:val="14"/>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43,888</w:t>
            </w:r>
          </w:p>
        </w:tc>
        <w:tc>
          <w:tcPr>
            <w:tcW w:w="6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36,657</w:t>
            </w:r>
          </w:p>
        </w:tc>
      </w:tr>
      <w:tr>
        <w:trPr>
          <w:trHeight w:val="135"/>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Weighted Average Common Shares Outstanding</w:t>
            </w:r>
          </w:p>
        </w:tc>
        <w:tc>
          <w:tcPr>
            <w:tcW w:w="2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r>
      <w:tr>
        <w:trPr>
          <w:trHeight w:val="145"/>
        </w:trPr>
        <w:tc>
          <w:tcPr>
            <w:tcW w:w="4540" w:type="dxa"/>
            <w:vAlign w:val="bottom"/>
          </w:tcPr>
          <w:p>
            <w:pPr>
              <w:ind w:left="80"/>
              <w:spacing w:after="0"/>
              <w:rPr>
                <w:sz w:val="20"/>
                <w:szCs w:val="20"/>
                <w:color w:val="auto"/>
              </w:rPr>
            </w:pPr>
            <w:r>
              <w:rPr>
                <w:rFonts w:ascii="Arial" w:cs="Arial" w:eastAsia="Arial" w:hAnsi="Arial"/>
                <w:sz w:val="10"/>
                <w:szCs w:val="10"/>
                <w:color w:val="auto"/>
              </w:rPr>
              <w:t>Basic</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10,380,906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10,369,791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10,489,496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10,369,257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10,505,896</w:t>
            </w:r>
          </w:p>
        </w:tc>
      </w:tr>
      <w:tr>
        <w:trPr>
          <w:trHeight w:val="160"/>
        </w:trPr>
        <w:tc>
          <w:tcPr>
            <w:tcW w:w="4540" w:type="dxa"/>
            <w:vAlign w:val="bottom"/>
            <w:shd w:val="clear" w:color="auto" w:fill="CCEEFF"/>
          </w:tcPr>
          <w:p>
            <w:pPr>
              <w:ind w:left="80"/>
              <w:spacing w:after="0"/>
              <w:rPr>
                <w:sz w:val="20"/>
                <w:szCs w:val="20"/>
                <w:color w:val="auto"/>
              </w:rPr>
            </w:pPr>
            <w:r>
              <w:rPr>
                <w:rFonts w:ascii="Arial" w:cs="Arial" w:eastAsia="Arial" w:hAnsi="Arial"/>
                <w:sz w:val="10"/>
                <w:szCs w:val="10"/>
                <w:color w:val="auto"/>
              </w:rPr>
              <w:t>Diluted</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10,542,098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10,507,662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10,601,694</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10,513,013</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10,617,773</w:t>
            </w:r>
          </w:p>
        </w:tc>
      </w:tr>
      <w:tr>
        <w:trPr>
          <w:trHeight w:val="148"/>
        </w:trPr>
        <w:tc>
          <w:tcPr>
            <w:tcW w:w="4540" w:type="dxa"/>
            <w:vAlign w:val="bottom"/>
          </w:tcPr>
          <w:p>
            <w:pPr>
              <w:spacing w:after="0"/>
              <w:rPr>
                <w:sz w:val="20"/>
                <w:szCs w:val="20"/>
                <w:color w:val="auto"/>
              </w:rPr>
            </w:pPr>
            <w:r>
              <w:rPr>
                <w:rFonts w:ascii="Arial" w:cs="Arial" w:eastAsia="Arial" w:hAnsi="Arial"/>
                <w:sz w:val="10"/>
                <w:szCs w:val="10"/>
                <w:b w:val="1"/>
                <w:bCs w:val="1"/>
                <w:color w:val="auto"/>
              </w:rPr>
              <w:t>Earnings per share</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8"/>
        </w:trPr>
        <w:tc>
          <w:tcPr>
            <w:tcW w:w="4540" w:type="dxa"/>
            <w:vAlign w:val="bottom"/>
            <w:shd w:val="clear" w:color="auto" w:fill="CCEEFF"/>
          </w:tcPr>
          <w:p>
            <w:pPr>
              <w:ind w:left="80"/>
              <w:spacing w:after="0"/>
              <w:rPr>
                <w:sz w:val="20"/>
                <w:szCs w:val="20"/>
                <w:color w:val="auto"/>
              </w:rPr>
            </w:pPr>
            <w:r>
              <w:rPr>
                <w:rFonts w:ascii="Arial" w:cs="Arial" w:eastAsia="Arial" w:hAnsi="Arial"/>
                <w:sz w:val="10"/>
                <w:szCs w:val="10"/>
                <w:color w:val="auto"/>
              </w:rPr>
              <w:t>Basic</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4.23</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3.49</w:t>
            </w:r>
          </w:p>
        </w:tc>
      </w:tr>
      <w:tr>
        <w:trPr>
          <w:trHeight w:val="138"/>
        </w:trPr>
        <w:tc>
          <w:tcPr>
            <w:tcW w:w="4540" w:type="dxa"/>
            <w:vAlign w:val="bottom"/>
          </w:tcPr>
          <w:p>
            <w:pPr>
              <w:ind w:left="80"/>
              <w:spacing w:after="0"/>
              <w:rPr>
                <w:sz w:val="20"/>
                <w:szCs w:val="20"/>
                <w:color w:val="auto"/>
              </w:rPr>
            </w:pPr>
            <w:r>
              <w:rPr>
                <w:rFonts w:ascii="Arial" w:cs="Arial" w:eastAsia="Arial" w:hAnsi="Arial"/>
                <w:sz w:val="10"/>
                <w:szCs w:val="10"/>
                <w:color w:val="auto"/>
              </w:rPr>
              <w:t>Diluted</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1.59</w:t>
            </w:r>
          </w:p>
        </w:tc>
        <w:tc>
          <w:tcPr>
            <w:tcW w:w="3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1.16</w:t>
            </w:r>
          </w:p>
        </w:tc>
        <w:tc>
          <w:tcPr>
            <w:tcW w:w="8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1.14</w:t>
            </w:r>
          </w:p>
        </w:tc>
        <w:tc>
          <w:tcPr>
            <w:tcW w:w="80" w:type="dxa"/>
            <w:vAlign w:val="bottom"/>
          </w:tcPr>
          <w:p>
            <w:pPr>
              <w:spacing w:after="0"/>
              <w:rPr>
                <w:sz w:val="12"/>
                <w:szCs w:val="12"/>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4.17</w:t>
            </w:r>
          </w:p>
        </w:tc>
        <w:tc>
          <w:tcPr>
            <w:tcW w:w="6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3.45</w:t>
            </w:r>
          </w:p>
        </w:tc>
      </w:tr>
    </w:tbl>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300"/>
          </w:cols>
          <w:pgMar w:left="300" w:top="709" w:right="29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auto"/>
        </w:rPr>
        <w:t>Non-GAAP Financial Measures</w:t>
      </w:r>
    </w:p>
    <w:p>
      <w:pPr>
        <w:spacing w:after="0" w:line="121"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 addition to presenting the Company’s results of operations in accordance with generally accepted accounting principles (“GAAP”) in the United States of America, certain financial measures discussed herein are non-GAAP financial measures, examples of which include taxable equivalent net interest income, efficiency ratio, tangible common equity ratio and return on average tangible equity. Generally, a non-GAAP measure is a numerical measure of a company’s financial performance, financial position or cash flows that exclude (or include) amounts that are included in (or excluded from) the most directly comparable measure calculated and presented in accordance with GAAP. We believe that the non-GAAP financial measures used herein provide helpful additional information about our operating results, performance trends and financial condition. Non-GAAP measures should not be considered a substitute for GAAP results and may not be comparable to similar measures used by other banking companies, among other limitations. Other companies may use the same or similar names for non-GAAP measures but may calculate them differently. As a result, caution should be used when comparing the Company's non-GAAP measures with those of other companies.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Investors are encouraged to review the reconciliation of non-GAAP financial measures used herein to their most directly comparable GAAP financial measures, which are presented in the tables below.</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300"/>
          </w:cols>
          <w:pgMar w:left="300" w:top="670" w:right="299" w:bottom="1440" w:gutter="0" w:footer="0" w:header="0"/>
        </w:sectPr>
      </w:pPr>
    </w:p>
    <w:bookmarkStart w:id="16" w:name="page17"/>
    <w:bookmarkEnd w:id="16"/>
    <w:p>
      <w:pPr>
        <w:jc w:val="both"/>
        <w:spacing w:after="0" w:line="258" w:lineRule="auto"/>
        <w:rPr>
          <w:sz w:val="20"/>
          <w:szCs w:val="20"/>
          <w:color w:val="auto"/>
        </w:rPr>
      </w:pPr>
      <w:r>
        <w:rPr>
          <w:rFonts w:ascii="Arial" w:cs="Arial" w:eastAsia="Arial" w:hAnsi="Arial"/>
          <w:sz w:val="13"/>
          <w:szCs w:val="13"/>
          <w:color w:val="auto"/>
        </w:rPr>
        <w:t>The following tables present non-GAAP financial measures management believes provide useful information for understanding the operating results of our core business and a better comparison of financial performance. Such measures include taxable equivalent adjustments, adjustments related to the sub debt redemption in the second quarter of 2026, adjustments related to the income tax benefit from the investment in renewable energy tax credits in the third quarter of 2026, tangible common equity and the associated financial measures.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860" w:type="dxa"/>
            <w:vAlign w:val="bottom"/>
          </w:tcPr>
          <w:p>
            <w:pPr>
              <w:spacing w:after="0"/>
              <w:rPr>
                <w:sz w:val="20"/>
                <w:szCs w:val="20"/>
                <w:color w:val="auto"/>
              </w:rPr>
            </w:pPr>
            <w:r>
              <w:rPr>
                <w:rFonts w:ascii="Arial" w:cs="Arial" w:eastAsia="Arial" w:hAnsi="Arial"/>
                <w:sz w:val="11"/>
                <w:szCs w:val="11"/>
                <w:b w:val="1"/>
                <w:bCs w:val="1"/>
                <w:color w:val="auto"/>
              </w:rPr>
              <w:t>Non-GAAP Financial Measures</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6"/>
          </w:tcPr>
          <w:p>
            <w:pPr>
              <w:jc w:val="center"/>
              <w:ind w:right="106"/>
              <w:spacing w:after="0"/>
              <w:rPr>
                <w:sz w:val="20"/>
                <w:szCs w:val="20"/>
                <w:color w:val="auto"/>
              </w:rPr>
            </w:pPr>
            <w:r>
              <w:rPr>
                <w:rFonts w:ascii="Arial" w:cs="Arial" w:eastAsia="Arial" w:hAnsi="Arial"/>
                <w:sz w:val="10"/>
                <w:szCs w:val="10"/>
                <w:b w:val="1"/>
                <w:bCs w:val="1"/>
                <w:color w:val="auto"/>
                <w:w w:val="95"/>
              </w:rPr>
              <w:t>For the Three Months Ended</w:t>
            </w:r>
          </w:p>
        </w:tc>
        <w:tc>
          <w:tcPr>
            <w:tcW w:w="11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right"/>
              <w:ind w:right="566"/>
              <w:spacing w:after="0"/>
              <w:rPr>
                <w:sz w:val="20"/>
                <w:szCs w:val="20"/>
                <w:color w:val="auto"/>
              </w:rPr>
            </w:pPr>
            <w:r>
              <w:rPr>
                <w:rFonts w:ascii="Arial" w:cs="Arial" w:eastAsia="Arial" w:hAnsi="Arial"/>
                <w:sz w:val="10"/>
                <w:szCs w:val="10"/>
                <w:b w:val="1"/>
                <w:bCs w:val="1"/>
                <w:color w:val="auto"/>
              </w:rPr>
              <w:t>For the Nine Months Ended</w:t>
            </w:r>
          </w:p>
        </w:tc>
      </w:tr>
      <w:tr>
        <w:trPr>
          <w:trHeight w:val="133"/>
        </w:trPr>
        <w:tc>
          <w:tcPr>
            <w:tcW w:w="4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226"/>
              <w:spacing w:after="0"/>
              <w:rPr>
                <w:sz w:val="20"/>
                <w:szCs w:val="20"/>
                <w:color w:val="auto"/>
              </w:rPr>
            </w:pPr>
            <w:r>
              <w:rPr>
                <w:rFonts w:ascii="Arial" w:cs="Arial" w:eastAsia="Arial" w:hAnsi="Arial"/>
                <w:sz w:val="10"/>
                <w:szCs w:val="10"/>
                <w:b w:val="1"/>
                <w:bCs w:val="1"/>
                <w:color w:val="auto"/>
              </w:rPr>
              <w:t>September 30,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June 30,</w:t>
            </w:r>
          </w:p>
        </w:tc>
        <w:tc>
          <w:tcPr>
            <w:tcW w:w="220" w:type="dxa"/>
            <w:vAlign w:val="bottom"/>
          </w:tcPr>
          <w:p>
            <w:pPr>
              <w:spacing w:after="0"/>
              <w:rPr>
                <w:sz w:val="11"/>
                <w:szCs w:val="11"/>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September 30,</w:t>
            </w:r>
          </w:p>
        </w:tc>
        <w:tc>
          <w:tcPr>
            <w:tcW w:w="420" w:type="dxa"/>
            <w:vAlign w:val="bottom"/>
          </w:tcPr>
          <w:p>
            <w:pPr>
              <w:spacing w:after="0"/>
              <w:rPr>
                <w:sz w:val="11"/>
                <w:szCs w:val="11"/>
                <w:color w:val="auto"/>
              </w:rPr>
            </w:pPr>
          </w:p>
        </w:tc>
        <w:tc>
          <w:tcPr>
            <w:tcW w:w="1260" w:type="dxa"/>
            <w:vAlign w:val="bottom"/>
            <w:gridSpan w:val="3"/>
          </w:tcPr>
          <w:p>
            <w:pPr>
              <w:jc w:val="right"/>
              <w:ind w:right="46"/>
              <w:spacing w:after="0"/>
              <w:rPr>
                <w:sz w:val="20"/>
                <w:szCs w:val="20"/>
                <w:color w:val="auto"/>
              </w:rPr>
            </w:pPr>
            <w:r>
              <w:rPr>
                <w:rFonts w:ascii="Arial" w:cs="Arial" w:eastAsia="Arial" w:hAnsi="Arial"/>
                <w:sz w:val="10"/>
                <w:szCs w:val="10"/>
                <w:b w:val="1"/>
                <w:bCs w:val="1"/>
                <w:color w:val="auto"/>
              </w:rPr>
              <w:t>September 30,</w:t>
            </w:r>
          </w:p>
        </w:tc>
        <w:tc>
          <w:tcPr>
            <w:tcW w:w="820" w:type="dxa"/>
            <w:vAlign w:val="bottom"/>
          </w:tcPr>
          <w:p>
            <w:pPr>
              <w:spacing w:after="0"/>
              <w:rPr>
                <w:sz w:val="11"/>
                <w:szCs w:val="11"/>
                <w:color w:val="auto"/>
              </w:rPr>
            </w:pPr>
          </w:p>
        </w:tc>
      </w:tr>
      <w:tr>
        <w:trPr>
          <w:trHeight w:val="159"/>
        </w:trPr>
        <w:tc>
          <w:tcPr>
            <w:tcW w:w="48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6"/>
              <w:spacing w:after="0"/>
              <w:rPr>
                <w:sz w:val="20"/>
                <w:szCs w:val="20"/>
                <w:color w:val="auto"/>
              </w:rPr>
            </w:pPr>
            <w:r>
              <w:rPr>
                <w:rFonts w:ascii="Arial" w:cs="Arial" w:eastAsia="Arial" w:hAnsi="Arial"/>
                <w:sz w:val="10"/>
                <w:szCs w:val="10"/>
                <w:b w:val="1"/>
                <w:bCs w:val="1"/>
                <w:color w:val="auto"/>
              </w:rPr>
              <w:t>2026</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66"/>
              <w:spacing w:after="0"/>
              <w:rPr>
                <w:sz w:val="20"/>
                <w:szCs w:val="20"/>
                <w:color w:val="auto"/>
              </w:rPr>
            </w:pPr>
            <w:r>
              <w:rPr>
                <w:rFonts w:ascii="Arial" w:cs="Arial" w:eastAsia="Arial" w:hAnsi="Arial"/>
                <w:sz w:val="10"/>
                <w:szCs w:val="10"/>
                <w:b w:val="1"/>
                <w:bCs w:val="1"/>
                <w:color w:val="auto"/>
                <w:w w:val="89"/>
              </w:rPr>
              <w:t>2026</w:t>
            </w: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66"/>
              <w:spacing w:after="0"/>
              <w:rPr>
                <w:sz w:val="20"/>
                <w:szCs w:val="20"/>
                <w:color w:val="auto"/>
              </w:rPr>
            </w:pPr>
            <w:r>
              <w:rPr>
                <w:rFonts w:ascii="Arial" w:cs="Arial" w:eastAsia="Arial" w:hAnsi="Arial"/>
                <w:sz w:val="10"/>
                <w:szCs w:val="10"/>
                <w:b w:val="1"/>
                <w:bCs w:val="1"/>
                <w:color w:val="auto"/>
                <w:w w:val="98"/>
              </w:rPr>
              <w:t>2025</w:t>
            </w: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47"/>
              <w:spacing w:after="0"/>
              <w:rPr>
                <w:sz w:val="20"/>
                <w:szCs w:val="20"/>
                <w:color w:val="auto"/>
              </w:rPr>
            </w:pPr>
            <w:r>
              <w:rPr>
                <w:rFonts w:ascii="Arial" w:cs="Arial" w:eastAsia="Arial" w:hAnsi="Arial"/>
                <w:sz w:val="10"/>
                <w:szCs w:val="10"/>
                <w:b w:val="1"/>
                <w:bCs w:val="1"/>
                <w:color w:val="auto"/>
              </w:rPr>
              <w:t>2026</w:t>
            </w: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46"/>
              <w:spacing w:after="0"/>
              <w:rPr>
                <w:sz w:val="20"/>
                <w:szCs w:val="20"/>
                <w:color w:val="auto"/>
              </w:rPr>
            </w:pPr>
            <w:r>
              <w:rPr>
                <w:rFonts w:ascii="Arial" w:cs="Arial" w:eastAsia="Arial" w:hAnsi="Arial"/>
                <w:sz w:val="10"/>
                <w:szCs w:val="10"/>
                <w:b w:val="1"/>
                <w:bCs w:val="1"/>
                <w:color w:val="auto"/>
              </w:rPr>
              <w:t>2025</w:t>
            </w:r>
          </w:p>
        </w:tc>
      </w:tr>
      <w:tr>
        <w:trPr>
          <w:trHeight w:val="151"/>
        </w:trPr>
        <w:tc>
          <w:tcPr>
            <w:tcW w:w="4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80" w:type="dxa"/>
            <w:vAlign w:val="bottom"/>
            <w:gridSpan w:val="6"/>
          </w:tcPr>
          <w:p>
            <w:pPr>
              <w:jc w:val="center"/>
              <w:ind w:left="446"/>
              <w:spacing w:after="0"/>
              <w:rPr>
                <w:sz w:val="20"/>
                <w:szCs w:val="20"/>
                <w:color w:val="auto"/>
              </w:rPr>
            </w:pPr>
            <w:r>
              <w:rPr>
                <w:rFonts w:ascii="Arial" w:cs="Arial" w:eastAsia="Arial" w:hAnsi="Arial"/>
                <w:sz w:val="11"/>
                <w:szCs w:val="11"/>
                <w:i w:val="1"/>
                <w:iCs w:val="1"/>
                <w:color w:val="auto"/>
                <w:w w:val="98"/>
              </w:rPr>
              <w:t>(Dollars in thousands, except per share data)</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8"/>
        </w:trPr>
        <w:tc>
          <w:tcPr>
            <w:tcW w:w="4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Interest Income (taxable equivalent):</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57"/>
        </w:trPr>
        <w:tc>
          <w:tcPr>
            <w:tcW w:w="4860" w:type="dxa"/>
            <w:vAlign w:val="bottom"/>
          </w:tcPr>
          <w:p>
            <w:pPr>
              <w:ind w:left="140"/>
              <w:spacing w:after="0"/>
              <w:rPr>
                <w:sz w:val="20"/>
                <w:szCs w:val="20"/>
                <w:color w:val="auto"/>
              </w:rPr>
            </w:pPr>
            <w:r>
              <w:rPr>
                <w:rFonts w:ascii="Arial" w:cs="Arial" w:eastAsia="Arial" w:hAnsi="Arial"/>
                <w:sz w:val="11"/>
                <w:szCs w:val="11"/>
                <w:color w:val="auto"/>
              </w:rPr>
              <w:t>Total interest income on loans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40,568</w:t>
            </w:r>
          </w:p>
        </w:tc>
        <w:tc>
          <w:tcPr>
            <w:tcW w:w="3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38,562</w:t>
            </w:r>
          </w:p>
        </w:tc>
        <w:tc>
          <w:tcPr>
            <w:tcW w:w="6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38,334</w:t>
            </w:r>
          </w:p>
        </w:tc>
        <w:tc>
          <w:tcPr>
            <w:tcW w:w="60" w:type="dxa"/>
            <w:vAlign w:val="bottom"/>
          </w:tcPr>
          <w:p>
            <w:pPr>
              <w:spacing w:after="0"/>
              <w:rPr>
                <w:sz w:val="13"/>
                <w:szCs w:val="13"/>
                <w:color w:val="auto"/>
              </w:rPr>
            </w:pP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116,235</w:t>
            </w:r>
          </w:p>
        </w:tc>
        <w:tc>
          <w:tcPr>
            <w:tcW w:w="100" w:type="dxa"/>
            <w:vAlign w:val="bottom"/>
          </w:tcPr>
          <w:p>
            <w:pPr>
              <w:spacing w:after="0"/>
              <w:rPr>
                <w:sz w:val="13"/>
                <w:szCs w:val="13"/>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112,288</w:t>
            </w:r>
          </w:p>
        </w:tc>
      </w:tr>
      <w:tr>
        <w:trPr>
          <w:trHeight w:val="162"/>
        </w:trPr>
        <w:tc>
          <w:tcPr>
            <w:tcW w:w="48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Add: taxable equivalent adjustment for loans</w:t>
            </w:r>
          </w:p>
        </w:tc>
        <w:tc>
          <w:tcPr>
            <w:tcW w:w="2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69</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22</w:t>
            </w:r>
          </w:p>
        </w:tc>
        <w:tc>
          <w:tcPr>
            <w:tcW w:w="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188</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66</w:t>
            </w:r>
          </w:p>
        </w:tc>
      </w:tr>
      <w:tr>
        <w:trPr>
          <w:trHeight w:val="151"/>
        </w:trPr>
        <w:tc>
          <w:tcPr>
            <w:tcW w:w="4860" w:type="dxa"/>
            <w:vAlign w:val="bottom"/>
          </w:tcPr>
          <w:p>
            <w:pPr>
              <w:ind w:left="140"/>
              <w:spacing w:after="0"/>
              <w:rPr>
                <w:sz w:val="20"/>
                <w:szCs w:val="20"/>
                <w:color w:val="auto"/>
              </w:rPr>
            </w:pPr>
            <w:r>
              <w:rPr>
                <w:rFonts w:ascii="Arial" w:cs="Arial" w:eastAsia="Arial" w:hAnsi="Arial"/>
                <w:sz w:val="11"/>
                <w:szCs w:val="11"/>
                <w:color w:val="auto"/>
              </w:rPr>
              <w:t>Total interest income on loans (taxable equivalent)</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40,659</w:t>
            </w:r>
          </w:p>
        </w:tc>
        <w:tc>
          <w:tcPr>
            <w:tcW w:w="3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38,631</w:t>
            </w:r>
          </w:p>
        </w:tc>
        <w:tc>
          <w:tcPr>
            <w:tcW w:w="6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38,356</w:t>
            </w:r>
          </w:p>
        </w:tc>
        <w:tc>
          <w:tcPr>
            <w:tcW w:w="60" w:type="dxa"/>
            <w:vAlign w:val="bottom"/>
          </w:tcPr>
          <w:p>
            <w:pPr>
              <w:spacing w:after="0"/>
              <w:rPr>
                <w:sz w:val="13"/>
                <w:szCs w:val="13"/>
                <w:color w:val="auto"/>
              </w:rPr>
            </w:pP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116,423</w:t>
            </w:r>
          </w:p>
        </w:tc>
        <w:tc>
          <w:tcPr>
            <w:tcW w:w="100" w:type="dxa"/>
            <w:vAlign w:val="bottom"/>
          </w:tcPr>
          <w:p>
            <w:pPr>
              <w:spacing w:after="0"/>
              <w:rPr>
                <w:sz w:val="13"/>
                <w:szCs w:val="13"/>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112,354</w:t>
            </w:r>
          </w:p>
        </w:tc>
      </w:tr>
      <w:tr>
        <w:trPr>
          <w:trHeight w:val="150"/>
        </w:trPr>
        <w:tc>
          <w:tcPr>
            <w:tcW w:w="4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57"/>
        </w:trPr>
        <w:tc>
          <w:tcPr>
            <w:tcW w:w="4860" w:type="dxa"/>
            <w:vAlign w:val="bottom"/>
          </w:tcPr>
          <w:p>
            <w:pPr>
              <w:ind w:left="140"/>
              <w:spacing w:after="0"/>
              <w:rPr>
                <w:sz w:val="20"/>
                <w:szCs w:val="20"/>
                <w:color w:val="auto"/>
              </w:rPr>
            </w:pPr>
            <w:r>
              <w:rPr>
                <w:rFonts w:ascii="Arial" w:cs="Arial" w:eastAsia="Arial" w:hAnsi="Arial"/>
                <w:sz w:val="11"/>
                <w:szCs w:val="11"/>
                <w:color w:val="auto"/>
              </w:rPr>
              <w:t>Total interest income on investment securities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3,708</w:t>
            </w:r>
          </w:p>
        </w:tc>
        <w:tc>
          <w:tcPr>
            <w:tcW w:w="3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3,438</w:t>
            </w:r>
          </w:p>
        </w:tc>
        <w:tc>
          <w:tcPr>
            <w:tcW w:w="6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3,263</w:t>
            </w:r>
          </w:p>
        </w:tc>
        <w:tc>
          <w:tcPr>
            <w:tcW w:w="60" w:type="dxa"/>
            <w:vAlign w:val="bottom"/>
          </w:tcPr>
          <w:p>
            <w:pPr>
              <w:spacing w:after="0"/>
              <w:rPr>
                <w:sz w:val="13"/>
                <w:szCs w:val="13"/>
                <w:color w:val="auto"/>
              </w:rPr>
            </w:pP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10,510</w:t>
            </w:r>
          </w:p>
        </w:tc>
        <w:tc>
          <w:tcPr>
            <w:tcW w:w="100" w:type="dxa"/>
            <w:vAlign w:val="bottom"/>
          </w:tcPr>
          <w:p>
            <w:pPr>
              <w:spacing w:after="0"/>
              <w:rPr>
                <w:sz w:val="13"/>
                <w:szCs w:val="13"/>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9,473</w:t>
            </w:r>
          </w:p>
        </w:tc>
      </w:tr>
      <w:tr>
        <w:trPr>
          <w:trHeight w:val="162"/>
        </w:trPr>
        <w:tc>
          <w:tcPr>
            <w:tcW w:w="48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Add: taxable equivalent adjustment for investment securities</w:t>
            </w:r>
          </w:p>
        </w:tc>
        <w:tc>
          <w:tcPr>
            <w:tcW w:w="2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92</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111</w:t>
            </w:r>
          </w:p>
        </w:tc>
        <w:tc>
          <w:tcPr>
            <w:tcW w:w="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292</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346</w:t>
            </w:r>
          </w:p>
        </w:tc>
      </w:tr>
      <w:tr>
        <w:trPr>
          <w:trHeight w:val="151"/>
        </w:trPr>
        <w:tc>
          <w:tcPr>
            <w:tcW w:w="4860" w:type="dxa"/>
            <w:vAlign w:val="bottom"/>
          </w:tcPr>
          <w:p>
            <w:pPr>
              <w:ind w:left="140"/>
              <w:spacing w:after="0"/>
              <w:rPr>
                <w:sz w:val="20"/>
                <w:szCs w:val="20"/>
                <w:color w:val="auto"/>
              </w:rPr>
            </w:pPr>
            <w:r>
              <w:rPr>
                <w:rFonts w:ascii="Arial" w:cs="Arial" w:eastAsia="Arial" w:hAnsi="Arial"/>
                <w:sz w:val="11"/>
                <w:szCs w:val="11"/>
                <w:color w:val="auto"/>
              </w:rPr>
              <w:t>Total interest income on investment securities (taxable equivalent)</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3,797</w:t>
            </w:r>
          </w:p>
        </w:tc>
        <w:tc>
          <w:tcPr>
            <w:tcW w:w="3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3,530</w:t>
            </w:r>
          </w:p>
        </w:tc>
        <w:tc>
          <w:tcPr>
            <w:tcW w:w="6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3,374</w:t>
            </w:r>
          </w:p>
        </w:tc>
        <w:tc>
          <w:tcPr>
            <w:tcW w:w="60" w:type="dxa"/>
            <w:vAlign w:val="bottom"/>
          </w:tcPr>
          <w:p>
            <w:pPr>
              <w:spacing w:after="0"/>
              <w:rPr>
                <w:sz w:val="13"/>
                <w:szCs w:val="13"/>
                <w:color w:val="auto"/>
              </w:rPr>
            </w:pP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10,802</w:t>
            </w:r>
          </w:p>
        </w:tc>
        <w:tc>
          <w:tcPr>
            <w:tcW w:w="100" w:type="dxa"/>
            <w:vAlign w:val="bottom"/>
          </w:tcPr>
          <w:p>
            <w:pPr>
              <w:spacing w:after="0"/>
              <w:rPr>
                <w:sz w:val="13"/>
                <w:szCs w:val="13"/>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9,819</w:t>
            </w:r>
          </w:p>
        </w:tc>
      </w:tr>
      <w:tr>
        <w:trPr>
          <w:trHeight w:val="129"/>
        </w:trPr>
        <w:tc>
          <w:tcPr>
            <w:tcW w:w="48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r>
      <w:tr>
        <w:trPr>
          <w:trHeight w:val="156"/>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interest income on interest-earning cash</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1,386</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893</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1,284</w:t>
            </w:r>
          </w:p>
        </w:tc>
        <w:tc>
          <w:tcPr>
            <w:tcW w:w="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3,646</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1,734</w:t>
            </w:r>
          </w:p>
        </w:tc>
      </w:tr>
      <w:tr>
        <w:trPr>
          <w:trHeight w:val="173"/>
        </w:trPr>
        <w:tc>
          <w:tcPr>
            <w:tcW w:w="48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interest income (taxable equivalent)</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45,842</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43,054</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43,014</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130,871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123,907</w:t>
            </w:r>
          </w:p>
        </w:tc>
      </w:tr>
      <w:tr>
        <w:trPr>
          <w:trHeight w:val="90"/>
        </w:trPr>
        <w:tc>
          <w:tcPr>
            <w:tcW w:w="4860" w:type="dxa"/>
            <w:vAlign w:val="bottom"/>
            <w:tcBorders>
              <w:top w:val="single" w:sz="8" w:color="CCEEFF"/>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r>
      <w:tr>
        <w:trPr>
          <w:trHeight w:val="162"/>
        </w:trPr>
        <w:tc>
          <w:tcPr>
            <w:tcW w:w="4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Adjusted Interest Expense:</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57"/>
        </w:trPr>
        <w:tc>
          <w:tcPr>
            <w:tcW w:w="4860" w:type="dxa"/>
            <w:vAlign w:val="bottom"/>
          </w:tcPr>
          <w:p>
            <w:pPr>
              <w:ind w:left="140"/>
              <w:spacing w:after="0"/>
              <w:rPr>
                <w:sz w:val="20"/>
                <w:szCs w:val="20"/>
                <w:color w:val="auto"/>
              </w:rPr>
            </w:pPr>
            <w:r>
              <w:rPr>
                <w:rFonts w:ascii="Arial" w:cs="Arial" w:eastAsia="Arial" w:hAnsi="Arial"/>
                <w:sz w:val="11"/>
                <w:szCs w:val="11"/>
                <w:color w:val="auto"/>
              </w:rPr>
              <w:t>Interest expense</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8,552</w:t>
            </w:r>
          </w:p>
        </w:tc>
        <w:tc>
          <w:tcPr>
            <w:tcW w:w="3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9,755</w:t>
            </w:r>
          </w:p>
        </w:tc>
        <w:tc>
          <w:tcPr>
            <w:tcW w:w="6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8,247</w:t>
            </w:r>
          </w:p>
        </w:tc>
        <w:tc>
          <w:tcPr>
            <w:tcW w:w="60" w:type="dxa"/>
            <w:vAlign w:val="bottom"/>
          </w:tcPr>
          <w:p>
            <w:pPr>
              <w:spacing w:after="0"/>
              <w:rPr>
                <w:sz w:val="13"/>
                <w:szCs w:val="13"/>
                <w:color w:val="auto"/>
              </w:rPr>
            </w:pP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26,061</w:t>
            </w:r>
          </w:p>
        </w:tc>
        <w:tc>
          <w:tcPr>
            <w:tcW w:w="100" w:type="dxa"/>
            <w:vAlign w:val="bottom"/>
          </w:tcPr>
          <w:p>
            <w:pPr>
              <w:spacing w:after="0"/>
              <w:rPr>
                <w:sz w:val="13"/>
                <w:szCs w:val="13"/>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23,709</w:t>
            </w:r>
          </w:p>
        </w:tc>
      </w:tr>
      <w:tr>
        <w:trPr>
          <w:trHeight w:val="162"/>
        </w:trPr>
        <w:tc>
          <w:tcPr>
            <w:tcW w:w="48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Less: accelerated accretion on sub debt redemption</w:t>
            </w:r>
          </w:p>
        </w:tc>
        <w:tc>
          <w:tcPr>
            <w:tcW w:w="2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(1,824)</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(1,824)</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(160)</w:t>
            </w:r>
          </w:p>
        </w:tc>
      </w:tr>
      <w:tr>
        <w:trPr>
          <w:trHeight w:val="173"/>
        </w:trPr>
        <w:tc>
          <w:tcPr>
            <w:tcW w:w="4860" w:type="dxa"/>
            <w:vAlign w:val="bottom"/>
          </w:tcPr>
          <w:p>
            <w:pPr>
              <w:ind w:left="140"/>
              <w:spacing w:after="0"/>
              <w:rPr>
                <w:sz w:val="20"/>
                <w:szCs w:val="20"/>
                <w:color w:val="auto"/>
              </w:rPr>
            </w:pPr>
            <w:r>
              <w:rPr>
                <w:rFonts w:ascii="Arial" w:cs="Arial" w:eastAsia="Arial" w:hAnsi="Arial"/>
                <w:sz w:val="11"/>
                <w:szCs w:val="11"/>
                <w:color w:val="auto"/>
              </w:rPr>
              <w:t>Adjusted interest expense</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8,552</w:t>
            </w:r>
          </w:p>
        </w:tc>
        <w:tc>
          <w:tcPr>
            <w:tcW w:w="3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7,931</w:t>
            </w:r>
          </w:p>
        </w:tc>
        <w:tc>
          <w:tcPr>
            <w:tcW w:w="60" w:type="dxa"/>
            <w:vAlign w:val="bottom"/>
          </w:tcPr>
          <w:p>
            <w:pPr>
              <w:spacing w:after="0"/>
              <w:rPr>
                <w:sz w:val="15"/>
                <w:szCs w:val="15"/>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8,247</w:t>
            </w:r>
          </w:p>
        </w:tc>
        <w:tc>
          <w:tcPr>
            <w:tcW w:w="60" w:type="dxa"/>
            <w:vAlign w:val="bottom"/>
          </w:tcPr>
          <w:p>
            <w:pPr>
              <w:spacing w:after="0"/>
              <w:rPr>
                <w:sz w:val="15"/>
                <w:szCs w:val="15"/>
                <w:color w:val="auto"/>
              </w:rPr>
            </w:pP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24,237</w:t>
            </w:r>
          </w:p>
        </w:tc>
        <w:tc>
          <w:tcPr>
            <w:tcW w:w="100" w:type="dxa"/>
            <w:vAlign w:val="bottom"/>
          </w:tcPr>
          <w:p>
            <w:pPr>
              <w:spacing w:after="0"/>
              <w:rPr>
                <w:sz w:val="15"/>
                <w:szCs w:val="15"/>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23,549</w:t>
            </w:r>
          </w:p>
        </w:tc>
      </w:tr>
      <w:tr>
        <w:trPr>
          <w:trHeight w:val="126"/>
        </w:trPr>
        <w:tc>
          <w:tcPr>
            <w:tcW w:w="48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r>
      <w:tr>
        <w:trPr>
          <w:trHeight w:val="160"/>
        </w:trPr>
        <w:tc>
          <w:tcPr>
            <w:tcW w:w="4860" w:type="dxa"/>
            <w:vAlign w:val="bottom"/>
          </w:tcPr>
          <w:p>
            <w:pPr>
              <w:spacing w:after="0"/>
              <w:rPr>
                <w:sz w:val="20"/>
                <w:szCs w:val="20"/>
                <w:color w:val="auto"/>
              </w:rPr>
            </w:pPr>
            <w:r>
              <w:rPr>
                <w:rFonts w:ascii="Arial" w:cs="Arial" w:eastAsia="Arial" w:hAnsi="Arial"/>
                <w:sz w:val="11"/>
                <w:szCs w:val="11"/>
                <w:b w:val="1"/>
                <w:bCs w:val="1"/>
                <w:color w:val="auto"/>
              </w:rPr>
              <w:t>Net Interest Income (taxable equivalent):</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4"/>
        </w:trPr>
        <w:tc>
          <w:tcPr>
            <w:tcW w:w="48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interest income</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37,110</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33,138</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34,634</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8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104,330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99,786</w:t>
            </w:r>
          </w:p>
        </w:tc>
      </w:tr>
      <w:tr>
        <w:trPr>
          <w:trHeight w:val="156"/>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Add: total taxable equivalent adjustment</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180</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161</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133</w:t>
            </w:r>
          </w:p>
        </w:tc>
        <w:tc>
          <w:tcPr>
            <w:tcW w:w="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480</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412</w:t>
            </w:r>
          </w:p>
        </w:tc>
      </w:tr>
      <w:tr>
        <w:trPr>
          <w:trHeight w:val="173"/>
        </w:trPr>
        <w:tc>
          <w:tcPr>
            <w:tcW w:w="48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interest income (taxable equivalent)</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37,290</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33,299</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34,767</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104,810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100,198</w:t>
            </w:r>
          </w:p>
        </w:tc>
      </w:tr>
      <w:tr>
        <w:trPr>
          <w:trHeight w:val="126"/>
        </w:trPr>
        <w:tc>
          <w:tcPr>
            <w:tcW w:w="486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r>
      <w:tr>
        <w:trPr>
          <w:trHeight w:val="162"/>
        </w:trPr>
        <w:tc>
          <w:tcPr>
            <w:tcW w:w="4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Adjusted Net Interest Income:</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57"/>
        </w:trPr>
        <w:tc>
          <w:tcPr>
            <w:tcW w:w="4860" w:type="dxa"/>
            <w:vAlign w:val="bottom"/>
          </w:tcPr>
          <w:p>
            <w:pPr>
              <w:ind w:left="140"/>
              <w:spacing w:after="0"/>
              <w:rPr>
                <w:sz w:val="20"/>
                <w:szCs w:val="20"/>
                <w:color w:val="auto"/>
              </w:rPr>
            </w:pPr>
            <w:r>
              <w:rPr>
                <w:rFonts w:ascii="Arial" w:cs="Arial" w:eastAsia="Arial" w:hAnsi="Arial"/>
                <w:sz w:val="11"/>
                <w:szCs w:val="11"/>
                <w:color w:val="auto"/>
              </w:rPr>
              <w:t>Net interest income</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37,110</w:t>
            </w:r>
          </w:p>
        </w:tc>
        <w:tc>
          <w:tcPr>
            <w:tcW w:w="3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33,138</w:t>
            </w:r>
          </w:p>
        </w:tc>
        <w:tc>
          <w:tcPr>
            <w:tcW w:w="6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34,634</w:t>
            </w:r>
          </w:p>
        </w:tc>
        <w:tc>
          <w:tcPr>
            <w:tcW w:w="60" w:type="dxa"/>
            <w:vAlign w:val="bottom"/>
          </w:tcPr>
          <w:p>
            <w:pPr>
              <w:spacing w:after="0"/>
              <w:rPr>
                <w:sz w:val="13"/>
                <w:szCs w:val="13"/>
                <w:color w:val="auto"/>
              </w:rPr>
            </w:pP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104,330</w:t>
            </w:r>
          </w:p>
        </w:tc>
        <w:tc>
          <w:tcPr>
            <w:tcW w:w="100" w:type="dxa"/>
            <w:vAlign w:val="bottom"/>
          </w:tcPr>
          <w:p>
            <w:pPr>
              <w:spacing w:after="0"/>
              <w:rPr>
                <w:sz w:val="13"/>
                <w:szCs w:val="13"/>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99,786</w:t>
            </w:r>
          </w:p>
        </w:tc>
      </w:tr>
      <w:tr>
        <w:trPr>
          <w:trHeight w:val="162"/>
        </w:trPr>
        <w:tc>
          <w:tcPr>
            <w:tcW w:w="48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Add: accelerated accretion on sub debt redemption</w:t>
            </w:r>
          </w:p>
        </w:tc>
        <w:tc>
          <w:tcPr>
            <w:tcW w:w="2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1,824</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1,824</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160</w:t>
            </w:r>
          </w:p>
        </w:tc>
      </w:tr>
      <w:tr>
        <w:trPr>
          <w:trHeight w:val="173"/>
        </w:trPr>
        <w:tc>
          <w:tcPr>
            <w:tcW w:w="4860" w:type="dxa"/>
            <w:vAlign w:val="bottom"/>
          </w:tcPr>
          <w:p>
            <w:pPr>
              <w:ind w:left="140"/>
              <w:spacing w:after="0"/>
              <w:rPr>
                <w:sz w:val="20"/>
                <w:szCs w:val="20"/>
                <w:color w:val="auto"/>
              </w:rPr>
            </w:pPr>
            <w:r>
              <w:rPr>
                <w:rFonts w:ascii="Arial" w:cs="Arial" w:eastAsia="Arial" w:hAnsi="Arial"/>
                <w:sz w:val="11"/>
                <w:szCs w:val="11"/>
                <w:color w:val="auto"/>
              </w:rPr>
              <w:t>Adjusted net interest income</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37,110</w:t>
            </w:r>
          </w:p>
        </w:tc>
        <w:tc>
          <w:tcPr>
            <w:tcW w:w="3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34,962</w:t>
            </w:r>
          </w:p>
        </w:tc>
        <w:tc>
          <w:tcPr>
            <w:tcW w:w="60" w:type="dxa"/>
            <w:vAlign w:val="bottom"/>
          </w:tcPr>
          <w:p>
            <w:pPr>
              <w:spacing w:after="0"/>
              <w:rPr>
                <w:sz w:val="15"/>
                <w:szCs w:val="15"/>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34,634</w:t>
            </w:r>
          </w:p>
        </w:tc>
        <w:tc>
          <w:tcPr>
            <w:tcW w:w="60" w:type="dxa"/>
            <w:vAlign w:val="bottom"/>
          </w:tcPr>
          <w:p>
            <w:pPr>
              <w:spacing w:after="0"/>
              <w:rPr>
                <w:sz w:val="15"/>
                <w:szCs w:val="15"/>
                <w:color w:val="auto"/>
              </w:rPr>
            </w:pP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106,154</w:t>
            </w:r>
          </w:p>
        </w:tc>
        <w:tc>
          <w:tcPr>
            <w:tcW w:w="100" w:type="dxa"/>
            <w:vAlign w:val="bottom"/>
          </w:tcPr>
          <w:p>
            <w:pPr>
              <w:spacing w:after="0"/>
              <w:rPr>
                <w:sz w:val="15"/>
                <w:szCs w:val="15"/>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99,946</w:t>
            </w:r>
          </w:p>
        </w:tc>
      </w:tr>
      <w:tr>
        <w:trPr>
          <w:trHeight w:val="126"/>
        </w:trPr>
        <w:tc>
          <w:tcPr>
            <w:tcW w:w="48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r>
      <w:tr>
        <w:trPr>
          <w:trHeight w:val="159"/>
        </w:trPr>
        <w:tc>
          <w:tcPr>
            <w:tcW w:w="4860" w:type="dxa"/>
            <w:vAlign w:val="bottom"/>
          </w:tcPr>
          <w:p>
            <w:pPr>
              <w:spacing w:after="0"/>
              <w:rPr>
                <w:sz w:val="20"/>
                <w:szCs w:val="20"/>
                <w:color w:val="auto"/>
              </w:rPr>
            </w:pPr>
            <w:r>
              <w:rPr>
                <w:rFonts w:ascii="Arial" w:cs="Arial" w:eastAsia="Arial" w:hAnsi="Arial"/>
                <w:sz w:val="11"/>
                <w:szCs w:val="11"/>
                <w:b w:val="1"/>
                <w:bCs w:val="1"/>
                <w:color w:val="auto"/>
              </w:rPr>
              <w:t>Adjusted Net Interest Income (taxable equivalent):</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5"/>
        </w:trPr>
        <w:tc>
          <w:tcPr>
            <w:tcW w:w="48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interest income</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37,110</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33,138</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34,634</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8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104,330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99,786</w:t>
            </w:r>
          </w:p>
        </w:tc>
      </w:tr>
      <w:tr>
        <w:trPr>
          <w:trHeight w:val="157"/>
        </w:trPr>
        <w:tc>
          <w:tcPr>
            <w:tcW w:w="4860" w:type="dxa"/>
            <w:vAlign w:val="bottom"/>
          </w:tcPr>
          <w:p>
            <w:pPr>
              <w:ind w:left="140"/>
              <w:spacing w:after="0"/>
              <w:rPr>
                <w:sz w:val="20"/>
                <w:szCs w:val="20"/>
                <w:color w:val="auto"/>
              </w:rPr>
            </w:pPr>
            <w:r>
              <w:rPr>
                <w:rFonts w:ascii="Arial" w:cs="Arial" w:eastAsia="Arial" w:hAnsi="Arial"/>
                <w:sz w:val="11"/>
                <w:szCs w:val="11"/>
                <w:color w:val="auto"/>
              </w:rPr>
              <w:t>Add: taxable equivalent adjustment</w:t>
            </w: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180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161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133</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480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412</w:t>
            </w:r>
          </w:p>
        </w:tc>
      </w:tr>
      <w:tr>
        <w:trPr>
          <w:trHeight w:val="162"/>
        </w:trPr>
        <w:tc>
          <w:tcPr>
            <w:tcW w:w="48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Add: accelerated accretion on sub debt redemption</w:t>
            </w:r>
          </w:p>
        </w:tc>
        <w:tc>
          <w:tcPr>
            <w:tcW w:w="2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1,824</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1,824</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160</w:t>
            </w:r>
          </w:p>
        </w:tc>
      </w:tr>
      <w:tr>
        <w:trPr>
          <w:trHeight w:val="172"/>
        </w:trPr>
        <w:tc>
          <w:tcPr>
            <w:tcW w:w="4860" w:type="dxa"/>
            <w:vAlign w:val="bottom"/>
          </w:tcPr>
          <w:p>
            <w:pPr>
              <w:ind w:left="140"/>
              <w:spacing w:after="0"/>
              <w:rPr>
                <w:sz w:val="20"/>
                <w:szCs w:val="20"/>
                <w:color w:val="auto"/>
              </w:rPr>
            </w:pPr>
            <w:r>
              <w:rPr>
                <w:rFonts w:ascii="Arial" w:cs="Arial" w:eastAsia="Arial" w:hAnsi="Arial"/>
                <w:sz w:val="11"/>
                <w:szCs w:val="11"/>
                <w:color w:val="auto"/>
              </w:rPr>
              <w:t>Adjusted net interest income (taxable equivalent)</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37,290</w:t>
            </w:r>
          </w:p>
        </w:tc>
        <w:tc>
          <w:tcPr>
            <w:tcW w:w="3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35,123</w:t>
            </w:r>
          </w:p>
        </w:tc>
        <w:tc>
          <w:tcPr>
            <w:tcW w:w="60" w:type="dxa"/>
            <w:vAlign w:val="bottom"/>
          </w:tcPr>
          <w:p>
            <w:pPr>
              <w:spacing w:after="0"/>
              <w:rPr>
                <w:sz w:val="15"/>
                <w:szCs w:val="15"/>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34,767</w:t>
            </w:r>
          </w:p>
        </w:tc>
        <w:tc>
          <w:tcPr>
            <w:tcW w:w="60" w:type="dxa"/>
            <w:vAlign w:val="bottom"/>
          </w:tcPr>
          <w:p>
            <w:pPr>
              <w:spacing w:after="0"/>
              <w:rPr>
                <w:sz w:val="15"/>
                <w:szCs w:val="15"/>
                <w:color w:val="auto"/>
              </w:rPr>
            </w:pP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106,634</w:t>
            </w:r>
          </w:p>
        </w:tc>
        <w:tc>
          <w:tcPr>
            <w:tcW w:w="100" w:type="dxa"/>
            <w:vAlign w:val="bottom"/>
          </w:tcPr>
          <w:p>
            <w:pPr>
              <w:spacing w:after="0"/>
              <w:rPr>
                <w:sz w:val="15"/>
                <w:szCs w:val="15"/>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100,358</w:t>
            </w:r>
          </w:p>
        </w:tc>
      </w:tr>
      <w:tr>
        <w:trPr>
          <w:trHeight w:val="126"/>
        </w:trPr>
        <w:tc>
          <w:tcPr>
            <w:tcW w:w="48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r>
      <w:tr>
        <w:trPr>
          <w:trHeight w:val="157"/>
        </w:trPr>
        <w:tc>
          <w:tcPr>
            <w:tcW w:w="4860" w:type="dxa"/>
            <w:vAlign w:val="bottom"/>
          </w:tcPr>
          <w:p>
            <w:pPr>
              <w:spacing w:after="0"/>
              <w:rPr>
                <w:sz w:val="20"/>
                <w:szCs w:val="20"/>
                <w:color w:val="auto"/>
              </w:rPr>
            </w:pPr>
            <w:r>
              <w:rPr>
                <w:rFonts w:ascii="Arial" w:cs="Arial" w:eastAsia="Arial" w:hAnsi="Arial"/>
                <w:sz w:val="11"/>
                <w:szCs w:val="11"/>
                <w:color w:val="auto"/>
              </w:rPr>
              <w:t>Average loans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2,300,973</w:t>
            </w:r>
          </w:p>
        </w:tc>
        <w:tc>
          <w:tcPr>
            <w:tcW w:w="3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2,233,133</w:t>
            </w:r>
          </w:p>
        </w:tc>
        <w:tc>
          <w:tcPr>
            <w:tcW w:w="6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2,109,593</w:t>
            </w:r>
          </w:p>
        </w:tc>
        <w:tc>
          <w:tcPr>
            <w:tcW w:w="60" w:type="dxa"/>
            <w:vAlign w:val="bottom"/>
          </w:tcPr>
          <w:p>
            <w:pPr>
              <w:spacing w:after="0"/>
              <w:rPr>
                <w:sz w:val="13"/>
                <w:szCs w:val="13"/>
                <w:color w:val="auto"/>
              </w:rPr>
            </w:pP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2,237,480</w:t>
            </w:r>
          </w:p>
        </w:tc>
        <w:tc>
          <w:tcPr>
            <w:tcW w:w="100" w:type="dxa"/>
            <w:vAlign w:val="bottom"/>
          </w:tcPr>
          <w:p>
            <w:pPr>
              <w:spacing w:after="0"/>
              <w:rPr>
                <w:sz w:val="13"/>
                <w:szCs w:val="13"/>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2,096,800</w:t>
            </w:r>
          </w:p>
        </w:tc>
      </w:tr>
      <w:tr>
        <w:trPr>
          <w:trHeight w:val="167"/>
        </w:trPr>
        <w:tc>
          <w:tcPr>
            <w:tcW w:w="4860" w:type="dxa"/>
            <w:vAlign w:val="bottom"/>
            <w:shd w:val="clear" w:color="auto" w:fill="CCEEFF"/>
          </w:tcPr>
          <w:p>
            <w:pPr>
              <w:spacing w:after="0"/>
              <w:rPr>
                <w:sz w:val="20"/>
                <w:szCs w:val="20"/>
                <w:color w:val="auto"/>
              </w:rPr>
            </w:pPr>
            <w:r>
              <w:rPr>
                <w:rFonts w:ascii="Arial" w:cs="Arial" w:eastAsia="Arial" w:hAnsi="Arial"/>
                <w:sz w:val="11"/>
                <w:szCs w:val="11"/>
                <w:color w:val="auto"/>
              </w:rPr>
              <w:t>Average investment securities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394,507</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382,863</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385,235</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8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388,635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381,978</w:t>
            </w:r>
          </w:p>
        </w:tc>
      </w:tr>
      <w:tr>
        <w:trPr>
          <w:trHeight w:val="157"/>
        </w:trPr>
        <w:tc>
          <w:tcPr>
            <w:tcW w:w="4860" w:type="dxa"/>
            <w:vAlign w:val="bottom"/>
          </w:tcPr>
          <w:p>
            <w:pPr>
              <w:spacing w:after="0"/>
              <w:rPr>
                <w:sz w:val="20"/>
                <w:szCs w:val="20"/>
                <w:color w:val="auto"/>
              </w:rPr>
            </w:pPr>
            <w:r>
              <w:rPr>
                <w:rFonts w:ascii="Arial" w:cs="Arial" w:eastAsia="Arial" w:hAnsi="Arial"/>
                <w:sz w:val="11"/>
                <w:szCs w:val="11"/>
                <w:color w:val="auto"/>
              </w:rPr>
              <w:t>Average interest-earning assets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2,844,497</w:t>
            </w:r>
          </w:p>
        </w:tc>
        <w:tc>
          <w:tcPr>
            <w:tcW w:w="3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2,714,207</w:t>
            </w:r>
          </w:p>
        </w:tc>
        <w:tc>
          <w:tcPr>
            <w:tcW w:w="6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2,610,884</w:t>
            </w:r>
          </w:p>
        </w:tc>
        <w:tc>
          <w:tcPr>
            <w:tcW w:w="60" w:type="dxa"/>
            <w:vAlign w:val="bottom"/>
          </w:tcPr>
          <w:p>
            <w:pPr>
              <w:spacing w:after="0"/>
              <w:rPr>
                <w:sz w:val="13"/>
                <w:szCs w:val="13"/>
                <w:color w:val="auto"/>
              </w:rPr>
            </w:pP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2,758,966</w:t>
            </w:r>
          </w:p>
        </w:tc>
        <w:tc>
          <w:tcPr>
            <w:tcW w:w="100" w:type="dxa"/>
            <w:vAlign w:val="bottom"/>
          </w:tcPr>
          <w:p>
            <w:pPr>
              <w:spacing w:after="0"/>
              <w:rPr>
                <w:sz w:val="13"/>
                <w:szCs w:val="13"/>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2,531,698</w:t>
            </w:r>
          </w:p>
        </w:tc>
      </w:tr>
      <w:tr>
        <w:trPr>
          <w:trHeight w:val="168"/>
        </w:trPr>
        <w:tc>
          <w:tcPr>
            <w:tcW w:w="4860" w:type="dxa"/>
            <w:vAlign w:val="bottom"/>
            <w:shd w:val="clear" w:color="auto" w:fill="CCEEFF"/>
          </w:tcPr>
          <w:p>
            <w:pPr>
              <w:spacing w:after="0"/>
              <w:rPr>
                <w:sz w:val="20"/>
                <w:szCs w:val="20"/>
                <w:color w:val="auto"/>
              </w:rPr>
            </w:pPr>
            <w:r>
              <w:rPr>
                <w:rFonts w:ascii="Arial" w:cs="Arial" w:eastAsia="Arial" w:hAnsi="Arial"/>
                <w:sz w:val="11"/>
                <w:szCs w:val="11"/>
                <w:color w:val="auto"/>
              </w:rPr>
              <w:t>Average deposits and borrowed funds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2,580,596</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2,459,749</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2,388,059</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8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2,501,857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2,318,172</w:t>
            </w:r>
          </w:p>
        </w:tc>
      </w:tr>
    </w:tbl>
    <w:p>
      <w:pPr>
        <w:spacing w:after="0" w:line="216" w:lineRule="exact"/>
        <w:rPr>
          <w:sz w:val="20"/>
          <w:szCs w:val="20"/>
          <w:color w:val="auto"/>
        </w:rPr>
      </w:pPr>
    </w:p>
    <w:p>
      <w:pPr>
        <w:ind w:left="10080"/>
        <w:spacing w:after="0"/>
        <w:rPr>
          <w:sz w:val="20"/>
          <w:szCs w:val="20"/>
          <w:color w:val="auto"/>
        </w:rPr>
      </w:pPr>
      <w:r>
        <w:rPr>
          <w:rFonts w:ascii="Arial" w:cs="Arial" w:eastAsia="Arial" w:hAnsi="Arial"/>
          <w:sz w:val="10"/>
          <w:szCs w:val="10"/>
          <w:i w:val="1"/>
          <w:iCs w:val="1"/>
          <w:color w:val="auto"/>
        </w:rPr>
        <w:t>(Continued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300"/>
          </w:cols>
          <w:pgMar w:left="300" w:top="670" w:right="2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50"/>
        </w:trPr>
        <w:tc>
          <w:tcPr>
            <w:tcW w:w="4480" w:type="dxa"/>
            <w:vAlign w:val="bottom"/>
          </w:tcPr>
          <w:p>
            <w:pPr>
              <w:spacing w:after="0"/>
              <w:rPr>
                <w:sz w:val="20"/>
                <w:szCs w:val="20"/>
                <w:color w:val="auto"/>
              </w:rPr>
            </w:pPr>
            <w:r>
              <w:rPr>
                <w:rFonts w:ascii="Arial" w:cs="Arial" w:eastAsia="Arial" w:hAnsi="Arial"/>
                <w:sz w:val="11"/>
                <w:szCs w:val="11"/>
                <w:b w:val="1"/>
                <w:bCs w:val="1"/>
                <w:color w:val="auto"/>
              </w:rPr>
              <w:t xml:space="preserve">Non-GAAP Financial Measures </w:t>
            </w:r>
            <w:r>
              <w:rPr>
                <w:rFonts w:ascii="Arial" w:cs="Arial" w:eastAsia="Arial" w:hAnsi="Arial"/>
                <w:sz w:val="11"/>
                <w:szCs w:val="11"/>
                <w:i w:val="1"/>
                <w:iCs w:val="1"/>
                <w:color w:val="auto"/>
              </w:rPr>
              <w:t>(Continued)</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5"/>
              </w:rPr>
              <w:t>For the Three Months Ended</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jc w:val="right"/>
              <w:ind w:right="646"/>
              <w:spacing w:after="0"/>
              <w:rPr>
                <w:sz w:val="20"/>
                <w:szCs w:val="20"/>
                <w:color w:val="auto"/>
              </w:rPr>
            </w:pPr>
            <w:r>
              <w:rPr>
                <w:rFonts w:ascii="Arial" w:cs="Arial" w:eastAsia="Arial" w:hAnsi="Arial"/>
                <w:sz w:val="10"/>
                <w:szCs w:val="10"/>
                <w:b w:val="1"/>
                <w:bCs w:val="1"/>
                <w:color w:val="auto"/>
              </w:rPr>
              <w:t>For the Nine Months Ended</w:t>
            </w:r>
          </w:p>
        </w:tc>
      </w:tr>
      <w:tr>
        <w:trPr>
          <w:trHeight w:val="133"/>
        </w:trPr>
        <w:tc>
          <w:tcPr>
            <w:tcW w:w="4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286"/>
              <w:spacing w:after="0"/>
              <w:rPr>
                <w:sz w:val="20"/>
                <w:szCs w:val="20"/>
                <w:color w:val="auto"/>
              </w:rPr>
            </w:pPr>
            <w:r>
              <w:rPr>
                <w:rFonts w:ascii="Arial" w:cs="Arial" w:eastAsia="Arial" w:hAnsi="Arial"/>
                <w:sz w:val="10"/>
                <w:szCs w:val="10"/>
                <w:b w:val="1"/>
                <w:bCs w:val="1"/>
                <w:color w:val="auto"/>
              </w:rPr>
              <w:t>September 30,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4"/>
              </w:rPr>
              <w:t>June 30,</w:t>
            </w:r>
          </w:p>
        </w:tc>
        <w:tc>
          <w:tcPr>
            <w:tcW w:w="220" w:type="dxa"/>
            <w:vAlign w:val="bottom"/>
          </w:tcPr>
          <w:p>
            <w:pPr>
              <w:spacing w:after="0"/>
              <w:rPr>
                <w:sz w:val="11"/>
                <w:szCs w:val="11"/>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3"/>
              </w:rPr>
              <w:t>September 30,</w:t>
            </w:r>
          </w:p>
        </w:tc>
        <w:tc>
          <w:tcPr>
            <w:tcW w:w="400" w:type="dxa"/>
            <w:vAlign w:val="bottom"/>
          </w:tcPr>
          <w:p>
            <w:pPr>
              <w:spacing w:after="0"/>
              <w:rPr>
                <w:sz w:val="11"/>
                <w:szCs w:val="11"/>
                <w:color w:val="auto"/>
              </w:rPr>
            </w:pPr>
          </w:p>
        </w:tc>
        <w:tc>
          <w:tcPr>
            <w:tcW w:w="136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rPr>
              <w:t>September 30,</w:t>
            </w:r>
          </w:p>
        </w:tc>
        <w:tc>
          <w:tcPr>
            <w:tcW w:w="860" w:type="dxa"/>
            <w:vAlign w:val="bottom"/>
          </w:tcPr>
          <w:p>
            <w:pPr>
              <w:spacing w:after="0"/>
              <w:rPr>
                <w:sz w:val="11"/>
                <w:szCs w:val="11"/>
                <w:color w:val="auto"/>
              </w:rPr>
            </w:pPr>
          </w:p>
        </w:tc>
      </w:tr>
      <w:tr>
        <w:trPr>
          <w:trHeight w:val="158"/>
        </w:trPr>
        <w:tc>
          <w:tcPr>
            <w:tcW w:w="4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26"/>
              <w:spacing w:after="0"/>
              <w:rPr>
                <w:sz w:val="20"/>
                <w:szCs w:val="20"/>
                <w:color w:val="auto"/>
              </w:rPr>
            </w:pPr>
            <w:r>
              <w:rPr>
                <w:rFonts w:ascii="Arial" w:cs="Arial" w:eastAsia="Arial" w:hAnsi="Arial"/>
                <w:sz w:val="10"/>
                <w:szCs w:val="10"/>
                <w:b w:val="1"/>
                <w:bCs w:val="1"/>
                <w:color w:val="auto"/>
              </w:rPr>
              <w:t>2026</w:t>
            </w: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86"/>
              <w:spacing w:after="0"/>
              <w:rPr>
                <w:sz w:val="20"/>
                <w:szCs w:val="20"/>
                <w:color w:val="auto"/>
              </w:rPr>
            </w:pPr>
            <w:r>
              <w:rPr>
                <w:rFonts w:ascii="Arial" w:cs="Arial" w:eastAsia="Arial" w:hAnsi="Arial"/>
                <w:sz w:val="10"/>
                <w:szCs w:val="10"/>
                <w:b w:val="1"/>
                <w:bCs w:val="1"/>
                <w:color w:val="auto"/>
                <w:w w:val="98"/>
              </w:rPr>
              <w:t>2026</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66"/>
              <w:spacing w:after="0"/>
              <w:rPr>
                <w:sz w:val="20"/>
                <w:szCs w:val="20"/>
                <w:color w:val="auto"/>
              </w:rPr>
            </w:pPr>
            <w:r>
              <w:rPr>
                <w:rFonts w:ascii="Arial" w:cs="Arial" w:eastAsia="Arial" w:hAnsi="Arial"/>
                <w:sz w:val="10"/>
                <w:szCs w:val="10"/>
                <w:b w:val="1"/>
                <w:bCs w:val="1"/>
                <w:color w:val="auto"/>
                <w:w w:val="89"/>
              </w:rPr>
              <w:t>2025</w:t>
            </w: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67"/>
              <w:spacing w:after="0"/>
              <w:rPr>
                <w:sz w:val="20"/>
                <w:szCs w:val="20"/>
                <w:color w:val="auto"/>
              </w:rPr>
            </w:pPr>
            <w:r>
              <w:rPr>
                <w:rFonts w:ascii="Arial" w:cs="Arial" w:eastAsia="Arial" w:hAnsi="Arial"/>
                <w:sz w:val="10"/>
                <w:szCs w:val="10"/>
                <w:b w:val="1"/>
                <w:bCs w:val="1"/>
                <w:color w:val="auto"/>
              </w:rPr>
              <w:t>2026</w:t>
            </w: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66"/>
              <w:spacing w:after="0"/>
              <w:rPr>
                <w:sz w:val="20"/>
                <w:szCs w:val="20"/>
                <w:color w:val="auto"/>
              </w:rPr>
            </w:pPr>
            <w:r>
              <w:rPr>
                <w:rFonts w:ascii="Arial" w:cs="Arial" w:eastAsia="Arial" w:hAnsi="Arial"/>
                <w:sz w:val="10"/>
                <w:szCs w:val="10"/>
                <w:b w:val="1"/>
                <w:bCs w:val="1"/>
                <w:color w:val="auto"/>
              </w:rPr>
              <w:t>2025</w:t>
            </w:r>
          </w:p>
        </w:tc>
      </w:tr>
      <w:tr>
        <w:trPr>
          <w:trHeight w:val="151"/>
        </w:trPr>
        <w:tc>
          <w:tcPr>
            <w:tcW w:w="4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00" w:type="dxa"/>
            <w:vAlign w:val="bottom"/>
            <w:gridSpan w:val="6"/>
          </w:tcPr>
          <w:p>
            <w:pPr>
              <w:jc w:val="center"/>
              <w:ind w:left="466"/>
              <w:spacing w:after="0"/>
              <w:rPr>
                <w:sz w:val="20"/>
                <w:szCs w:val="20"/>
                <w:color w:val="auto"/>
              </w:rPr>
            </w:pPr>
            <w:r>
              <w:rPr>
                <w:rFonts w:ascii="Arial" w:cs="Arial" w:eastAsia="Arial" w:hAnsi="Arial"/>
                <w:sz w:val="11"/>
                <w:szCs w:val="11"/>
                <w:i w:val="1"/>
                <w:iCs w:val="1"/>
                <w:color w:val="auto"/>
                <w:w w:val="97"/>
              </w:rPr>
              <w:t>(Dollars in thousands, except per share data)</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7"/>
        </w:trPr>
        <w:tc>
          <w:tcPr>
            <w:tcW w:w="4480" w:type="dxa"/>
            <w:vAlign w:val="bottom"/>
            <w:shd w:val="clear" w:color="auto" w:fill="CCEEFF"/>
          </w:tcPr>
          <w:p>
            <w:pPr>
              <w:spacing w:after="0"/>
              <w:rPr>
                <w:sz w:val="20"/>
                <w:szCs w:val="20"/>
                <w:color w:val="auto"/>
              </w:rPr>
            </w:pPr>
            <w:r>
              <w:rPr>
                <w:rFonts w:ascii="Arial" w:cs="Arial" w:eastAsia="Arial" w:hAnsi="Arial"/>
                <w:sz w:val="11"/>
                <w:szCs w:val="11"/>
                <w:color w:val="auto"/>
              </w:rPr>
              <w:t>Yield on loans</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6.99 %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6.93 %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7.21 %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6.95 %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7.16 %</w:t>
            </w:r>
          </w:p>
        </w:tc>
      </w:tr>
      <w:tr>
        <w:trPr>
          <w:trHeight w:val="157"/>
        </w:trPr>
        <w:tc>
          <w:tcPr>
            <w:tcW w:w="4480" w:type="dxa"/>
            <w:vAlign w:val="bottom"/>
          </w:tcPr>
          <w:p>
            <w:pPr>
              <w:spacing w:after="0"/>
              <w:rPr>
                <w:sz w:val="20"/>
                <w:szCs w:val="20"/>
                <w:color w:val="auto"/>
              </w:rPr>
            </w:pPr>
            <w:r>
              <w:rPr>
                <w:rFonts w:ascii="Arial" w:cs="Arial" w:eastAsia="Arial" w:hAnsi="Arial"/>
                <w:sz w:val="11"/>
                <w:szCs w:val="11"/>
                <w:color w:val="auto"/>
              </w:rPr>
              <w:t>Yield on loans (taxable equivalent)</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7.01 %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6.94 %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7.21 %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6.96 %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7.16 %</w:t>
            </w:r>
          </w:p>
        </w:tc>
      </w:tr>
      <w:tr>
        <w:trPr>
          <w:trHeight w:val="149"/>
        </w:trPr>
        <w:tc>
          <w:tcPr>
            <w:tcW w:w="4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7"/>
        </w:trPr>
        <w:tc>
          <w:tcPr>
            <w:tcW w:w="4480" w:type="dxa"/>
            <w:vAlign w:val="bottom"/>
          </w:tcPr>
          <w:p>
            <w:pPr>
              <w:spacing w:after="0"/>
              <w:rPr>
                <w:sz w:val="20"/>
                <w:szCs w:val="20"/>
                <w:color w:val="auto"/>
              </w:rPr>
            </w:pPr>
            <w:r>
              <w:rPr>
                <w:rFonts w:ascii="Arial" w:cs="Arial" w:eastAsia="Arial" w:hAnsi="Arial"/>
                <w:sz w:val="11"/>
                <w:szCs w:val="11"/>
                <w:color w:val="auto"/>
              </w:rPr>
              <w:t>Yield on investments</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3.73 %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3.60 %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3.36 %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3.62 %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3.32 %</w:t>
            </w:r>
          </w:p>
        </w:tc>
      </w:tr>
      <w:tr>
        <w:trPr>
          <w:trHeight w:val="167"/>
        </w:trPr>
        <w:tc>
          <w:tcPr>
            <w:tcW w:w="4480" w:type="dxa"/>
            <w:vAlign w:val="bottom"/>
            <w:shd w:val="clear" w:color="auto" w:fill="CCEEFF"/>
          </w:tcPr>
          <w:p>
            <w:pPr>
              <w:spacing w:after="0"/>
              <w:rPr>
                <w:sz w:val="20"/>
                <w:szCs w:val="20"/>
                <w:color w:val="auto"/>
              </w:rPr>
            </w:pPr>
            <w:r>
              <w:rPr>
                <w:rFonts w:ascii="Arial" w:cs="Arial" w:eastAsia="Arial" w:hAnsi="Arial"/>
                <w:sz w:val="11"/>
                <w:szCs w:val="11"/>
                <w:color w:val="auto"/>
              </w:rPr>
              <w:t>Yield on investments (taxable equivalent)</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3.82 %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3.70 %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3.47 %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3.72 %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3.44 %</w:t>
            </w:r>
          </w:p>
        </w:tc>
      </w:tr>
      <w:tr>
        <w:trPr>
          <w:trHeight w:val="144"/>
        </w:trPr>
        <w:tc>
          <w:tcPr>
            <w:tcW w:w="4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2"/>
        </w:trPr>
        <w:tc>
          <w:tcPr>
            <w:tcW w:w="4480" w:type="dxa"/>
            <w:vAlign w:val="bottom"/>
            <w:shd w:val="clear" w:color="auto" w:fill="CCEEFF"/>
          </w:tcPr>
          <w:p>
            <w:pPr>
              <w:spacing w:after="0"/>
              <w:rPr>
                <w:sz w:val="20"/>
                <w:szCs w:val="20"/>
                <w:color w:val="auto"/>
              </w:rPr>
            </w:pPr>
            <w:r>
              <w:rPr>
                <w:rFonts w:ascii="Arial" w:cs="Arial" w:eastAsia="Arial" w:hAnsi="Arial"/>
                <w:sz w:val="11"/>
                <w:szCs w:val="11"/>
                <w:color w:val="auto"/>
              </w:rPr>
              <w:t>Yield on interest-earning assets</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6.37 %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6.34 %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6.52 %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6.32 %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6.52 %</w:t>
            </w:r>
          </w:p>
        </w:tc>
      </w:tr>
      <w:tr>
        <w:trPr>
          <w:trHeight w:val="157"/>
        </w:trPr>
        <w:tc>
          <w:tcPr>
            <w:tcW w:w="4480" w:type="dxa"/>
            <w:vAlign w:val="bottom"/>
          </w:tcPr>
          <w:p>
            <w:pPr>
              <w:spacing w:after="0"/>
              <w:rPr>
                <w:sz w:val="20"/>
                <w:szCs w:val="20"/>
                <w:color w:val="auto"/>
              </w:rPr>
            </w:pPr>
            <w:r>
              <w:rPr>
                <w:rFonts w:ascii="Arial" w:cs="Arial" w:eastAsia="Arial" w:hAnsi="Arial"/>
                <w:sz w:val="11"/>
                <w:szCs w:val="11"/>
                <w:color w:val="auto"/>
              </w:rPr>
              <w:t>Yield on interest-earning assets (taxable equivalent)</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6.39 %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6.36 %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6.54 %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6.34 %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6.54 %</w:t>
            </w:r>
          </w:p>
        </w:tc>
      </w:tr>
      <w:tr>
        <w:trPr>
          <w:trHeight w:val="149"/>
        </w:trPr>
        <w:tc>
          <w:tcPr>
            <w:tcW w:w="4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7"/>
        </w:trPr>
        <w:tc>
          <w:tcPr>
            <w:tcW w:w="4480" w:type="dxa"/>
            <w:vAlign w:val="bottom"/>
          </w:tcPr>
          <w:p>
            <w:pPr>
              <w:spacing w:after="0"/>
              <w:rPr>
                <w:sz w:val="20"/>
                <w:szCs w:val="20"/>
                <w:color w:val="auto"/>
              </w:rPr>
            </w:pPr>
            <w:r>
              <w:rPr>
                <w:rFonts w:ascii="Arial" w:cs="Arial" w:eastAsia="Arial" w:hAnsi="Arial"/>
                <w:sz w:val="11"/>
                <w:szCs w:val="11"/>
                <w:color w:val="auto"/>
              </w:rPr>
              <w:t>Net interest margin</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5.18 %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4.90 %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5.26 %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5.06 %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5.27 %</w:t>
            </w:r>
          </w:p>
        </w:tc>
      </w:tr>
      <w:tr>
        <w:trPr>
          <w:trHeight w:val="168"/>
        </w:trPr>
        <w:tc>
          <w:tcPr>
            <w:tcW w:w="4480" w:type="dxa"/>
            <w:vAlign w:val="bottom"/>
            <w:shd w:val="clear" w:color="auto" w:fill="CCEEFF"/>
          </w:tcPr>
          <w:p>
            <w:pPr>
              <w:spacing w:after="0"/>
              <w:rPr>
                <w:sz w:val="20"/>
                <w:szCs w:val="20"/>
                <w:color w:val="auto"/>
              </w:rPr>
            </w:pPr>
            <w:r>
              <w:rPr>
                <w:rFonts w:ascii="Arial" w:cs="Arial" w:eastAsia="Arial" w:hAnsi="Arial"/>
                <w:sz w:val="11"/>
                <w:szCs w:val="11"/>
                <w:color w:val="auto"/>
              </w:rPr>
              <w:t>Net interest margin (taxable equivalent)</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4.92 %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5.28 %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5.08 %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5.29 %</w:t>
            </w:r>
          </w:p>
        </w:tc>
      </w:tr>
      <w:tr>
        <w:trPr>
          <w:trHeight w:val="157"/>
        </w:trPr>
        <w:tc>
          <w:tcPr>
            <w:tcW w:w="4480" w:type="dxa"/>
            <w:vAlign w:val="bottom"/>
          </w:tcPr>
          <w:p>
            <w:pPr>
              <w:spacing w:after="0"/>
              <w:rPr>
                <w:sz w:val="20"/>
                <w:szCs w:val="20"/>
                <w:color w:val="auto"/>
              </w:rPr>
            </w:pPr>
            <w:r>
              <w:rPr>
                <w:rFonts w:ascii="Arial" w:cs="Arial" w:eastAsia="Arial" w:hAnsi="Arial"/>
                <w:sz w:val="11"/>
                <w:szCs w:val="11"/>
                <w:color w:val="auto"/>
              </w:rPr>
              <w:t>Adjusted Net interest margin (taxable equivalent)</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5.20 %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5.19 %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5.28 %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5.17 %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5.30 %</w:t>
            </w:r>
          </w:p>
        </w:tc>
      </w:tr>
      <w:tr>
        <w:trPr>
          <w:trHeight w:val="149"/>
        </w:trPr>
        <w:tc>
          <w:tcPr>
            <w:tcW w:w="4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7"/>
        </w:trPr>
        <w:tc>
          <w:tcPr>
            <w:tcW w:w="4480" w:type="dxa"/>
            <w:vAlign w:val="bottom"/>
          </w:tcPr>
          <w:p>
            <w:pPr>
              <w:spacing w:after="0"/>
              <w:rPr>
                <w:sz w:val="20"/>
                <w:szCs w:val="20"/>
                <w:color w:val="auto"/>
              </w:rPr>
            </w:pPr>
            <w:r>
              <w:rPr>
                <w:rFonts w:ascii="Arial" w:cs="Arial" w:eastAsia="Arial" w:hAnsi="Arial"/>
                <w:sz w:val="11"/>
                <w:szCs w:val="11"/>
                <w:color w:val="auto"/>
              </w:rPr>
              <w:t>Cost of funds</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1.31 %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1.59 %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1.37 %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1.39 %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1.37 %</w:t>
            </w:r>
          </w:p>
        </w:tc>
      </w:tr>
      <w:tr>
        <w:trPr>
          <w:trHeight w:val="168"/>
        </w:trPr>
        <w:tc>
          <w:tcPr>
            <w:tcW w:w="4480" w:type="dxa"/>
            <w:vAlign w:val="bottom"/>
            <w:shd w:val="clear" w:color="auto" w:fill="CCEEFF"/>
          </w:tcPr>
          <w:p>
            <w:pPr>
              <w:spacing w:after="0"/>
              <w:rPr>
                <w:sz w:val="20"/>
                <w:szCs w:val="20"/>
                <w:color w:val="auto"/>
              </w:rPr>
            </w:pPr>
            <w:r>
              <w:rPr>
                <w:rFonts w:ascii="Arial" w:cs="Arial" w:eastAsia="Arial" w:hAnsi="Arial"/>
                <w:sz w:val="11"/>
                <w:szCs w:val="11"/>
                <w:color w:val="auto"/>
              </w:rPr>
              <w:t>Adjusted cost of funds</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1.36 %</w:t>
            </w:r>
          </w:p>
        </w:tc>
      </w:tr>
      <w:tr>
        <w:trPr>
          <w:trHeight w:val="144"/>
        </w:trPr>
        <w:tc>
          <w:tcPr>
            <w:tcW w:w="4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2"/>
        </w:trPr>
        <w:tc>
          <w:tcPr>
            <w:tcW w:w="44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Adjusted Efficiency Ratio:</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57"/>
        </w:trPr>
        <w:tc>
          <w:tcPr>
            <w:tcW w:w="4480" w:type="dxa"/>
            <w:vAlign w:val="bottom"/>
          </w:tcPr>
          <w:p>
            <w:pPr>
              <w:ind w:left="140"/>
              <w:spacing w:after="0"/>
              <w:rPr>
                <w:sz w:val="20"/>
                <w:szCs w:val="20"/>
                <w:color w:val="auto"/>
              </w:rPr>
            </w:pPr>
            <w:r>
              <w:rPr>
                <w:rFonts w:ascii="Arial" w:cs="Arial" w:eastAsia="Arial" w:hAnsi="Arial"/>
                <w:sz w:val="11"/>
                <w:szCs w:val="11"/>
                <w:color w:val="auto"/>
              </w:rPr>
              <w:t>Noninterest expense</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16,254</w:t>
            </w:r>
          </w:p>
        </w:tc>
        <w:tc>
          <w:tcPr>
            <w:tcW w:w="3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15,868</w:t>
            </w:r>
          </w:p>
        </w:tc>
        <w:tc>
          <w:tcPr>
            <w:tcW w:w="10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15,491</w:t>
            </w:r>
          </w:p>
        </w:tc>
        <w:tc>
          <w:tcPr>
            <w:tcW w:w="100" w:type="dxa"/>
            <w:vAlign w:val="bottom"/>
          </w:tcPr>
          <w:p>
            <w:pPr>
              <w:spacing w:after="0"/>
              <w:rPr>
                <w:sz w:val="13"/>
                <w:szCs w:val="13"/>
                <w:color w:val="auto"/>
              </w:rPr>
            </w:pP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27"/>
              <w:spacing w:after="0"/>
              <w:rPr>
                <w:sz w:val="20"/>
                <w:szCs w:val="20"/>
                <w:color w:val="auto"/>
              </w:rPr>
            </w:pPr>
            <w:r>
              <w:rPr>
                <w:rFonts w:ascii="Arial" w:cs="Arial" w:eastAsia="Arial" w:hAnsi="Arial"/>
                <w:sz w:val="11"/>
                <w:szCs w:val="11"/>
                <w:color w:val="auto"/>
              </w:rPr>
              <w:t>48,158</w:t>
            </w:r>
          </w:p>
        </w:tc>
        <w:tc>
          <w:tcPr>
            <w:tcW w:w="100" w:type="dxa"/>
            <w:vAlign w:val="bottom"/>
          </w:tcPr>
          <w:p>
            <w:pPr>
              <w:spacing w:after="0"/>
              <w:rPr>
                <w:sz w:val="13"/>
                <w:szCs w:val="13"/>
                <w:color w:val="auto"/>
              </w:rPr>
            </w:pP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46,436</w:t>
            </w:r>
          </w:p>
        </w:tc>
      </w:tr>
      <w:tr>
        <w:trPr>
          <w:trHeight w:val="168"/>
        </w:trPr>
        <w:tc>
          <w:tcPr>
            <w:tcW w:w="4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Noninterest income</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1,303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1,176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1,285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5,189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3,683</w:t>
            </w:r>
          </w:p>
        </w:tc>
      </w:tr>
      <w:tr>
        <w:trPr>
          <w:trHeight w:val="144"/>
        </w:trPr>
        <w:tc>
          <w:tcPr>
            <w:tcW w:w="4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2"/>
        </w:trPr>
        <w:tc>
          <w:tcPr>
            <w:tcW w:w="4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interest income</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37,110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33,138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34,634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104,330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99,786</w:t>
            </w:r>
          </w:p>
        </w:tc>
      </w:tr>
      <w:tr>
        <w:trPr>
          <w:trHeight w:val="157"/>
        </w:trPr>
        <w:tc>
          <w:tcPr>
            <w:tcW w:w="448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Add: accelerated accretion on sub debt redemption</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1,824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rPr>
              <w:t>1,824</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160</w:t>
            </w:r>
          </w:p>
        </w:tc>
      </w:tr>
      <w:tr>
        <w:trPr>
          <w:trHeight w:val="173"/>
        </w:trPr>
        <w:tc>
          <w:tcPr>
            <w:tcW w:w="4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Adjusted net interest income</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37,110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34,962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34,634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106,154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99,946</w:t>
            </w:r>
          </w:p>
        </w:tc>
      </w:tr>
      <w:tr>
        <w:trPr>
          <w:trHeight w:val="126"/>
        </w:trPr>
        <w:tc>
          <w:tcPr>
            <w:tcW w:w="448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r>
      <w:tr>
        <w:trPr>
          <w:trHeight w:val="162"/>
        </w:trPr>
        <w:tc>
          <w:tcPr>
            <w:tcW w:w="4480" w:type="dxa"/>
            <w:vAlign w:val="bottom"/>
            <w:shd w:val="clear" w:color="auto" w:fill="CCEEFF"/>
          </w:tcPr>
          <w:p>
            <w:pPr>
              <w:spacing w:after="0"/>
              <w:rPr>
                <w:sz w:val="20"/>
                <w:szCs w:val="20"/>
                <w:color w:val="auto"/>
              </w:rPr>
            </w:pPr>
            <w:r>
              <w:rPr>
                <w:rFonts w:ascii="Arial" w:cs="Arial" w:eastAsia="Arial" w:hAnsi="Arial"/>
                <w:sz w:val="11"/>
                <w:szCs w:val="11"/>
                <w:color w:val="auto"/>
              </w:rPr>
              <w:t>Efficiency ratio</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42.31 %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46.24 %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43.13 %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43.97 %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44.88 %</w:t>
            </w:r>
          </w:p>
        </w:tc>
      </w:tr>
      <w:tr>
        <w:trPr>
          <w:trHeight w:val="156"/>
        </w:trPr>
        <w:tc>
          <w:tcPr>
            <w:tcW w:w="4480" w:type="dxa"/>
            <w:vAlign w:val="bottom"/>
          </w:tcPr>
          <w:p>
            <w:pPr>
              <w:spacing w:after="0"/>
              <w:rPr>
                <w:sz w:val="20"/>
                <w:szCs w:val="20"/>
                <w:color w:val="auto"/>
              </w:rPr>
            </w:pPr>
            <w:r>
              <w:rPr>
                <w:rFonts w:ascii="Arial" w:cs="Arial" w:eastAsia="Arial" w:hAnsi="Arial"/>
                <w:sz w:val="11"/>
                <w:szCs w:val="11"/>
                <w:color w:val="auto"/>
              </w:rPr>
              <w:t>Adjusted efficiency ratio</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42.31 %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43.91 %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43.13 %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43.25 %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44.81 %</w:t>
            </w:r>
          </w:p>
        </w:tc>
      </w:tr>
      <w:tr>
        <w:trPr>
          <w:trHeight w:val="150"/>
        </w:trPr>
        <w:tc>
          <w:tcPr>
            <w:tcW w:w="4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1"/>
                <w:szCs w:val="11"/>
                <w:b w:val="1"/>
                <w:bCs w:val="1"/>
                <w:color w:val="auto"/>
              </w:rPr>
              <w:t>Adjusted Net Income and EPS:</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4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income</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16,740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12,161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12,061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43,888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36,657</w:t>
            </w:r>
          </w:p>
        </w:tc>
      </w:tr>
      <w:tr>
        <w:trPr>
          <w:trHeight w:val="156"/>
        </w:trPr>
        <w:tc>
          <w:tcPr>
            <w:tcW w:w="4480" w:type="dxa"/>
            <w:vAlign w:val="bottom"/>
          </w:tcPr>
          <w:p>
            <w:pPr>
              <w:ind w:left="140"/>
              <w:spacing w:after="0"/>
              <w:rPr>
                <w:sz w:val="20"/>
                <w:szCs w:val="20"/>
                <w:color w:val="auto"/>
              </w:rPr>
            </w:pPr>
            <w:r>
              <w:rPr>
                <w:rFonts w:ascii="Arial" w:cs="Arial" w:eastAsia="Arial" w:hAnsi="Arial"/>
                <w:sz w:val="11"/>
                <w:szCs w:val="11"/>
                <w:color w:val="auto"/>
              </w:rPr>
              <w:t>Add: accelerated accretion on sub debt redemption</w:t>
            </w:r>
          </w:p>
        </w:tc>
        <w:tc>
          <w:tcPr>
            <w:tcW w:w="220" w:type="dxa"/>
            <w:vAlign w:val="bottom"/>
          </w:tcPr>
          <w:p>
            <w:pPr>
              <w:spacing w:after="0"/>
              <w:rPr>
                <w:sz w:val="13"/>
                <w:szCs w:val="13"/>
                <w:color w:val="auto"/>
              </w:rPr>
            </w:pP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1,824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860" w:type="dxa"/>
            <w:vAlign w:val="bottom"/>
          </w:tcPr>
          <w:p>
            <w:pPr>
              <w:jc w:val="right"/>
              <w:ind w:right="27"/>
              <w:spacing w:after="0"/>
              <w:rPr>
                <w:sz w:val="20"/>
                <w:szCs w:val="20"/>
                <w:color w:val="auto"/>
              </w:rPr>
            </w:pPr>
            <w:r>
              <w:rPr>
                <w:rFonts w:ascii="Arial" w:cs="Arial" w:eastAsia="Arial" w:hAnsi="Arial"/>
                <w:sz w:val="11"/>
                <w:szCs w:val="11"/>
                <w:color w:val="auto"/>
              </w:rPr>
              <w:t>1,824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160</w:t>
            </w:r>
          </w:p>
        </w:tc>
      </w:tr>
      <w:tr>
        <w:trPr>
          <w:trHeight w:val="168"/>
        </w:trPr>
        <w:tc>
          <w:tcPr>
            <w:tcW w:w="4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 xml:space="preserve">Less: tax adjustment for accelerated accretion on sub debt redemption </w:t>
            </w:r>
            <w:r>
              <w:rPr>
                <w:rFonts w:ascii="Arial" w:cs="Arial" w:eastAsia="Arial" w:hAnsi="Arial"/>
                <w:sz w:val="14"/>
                <w:szCs w:val="14"/>
                <w:color w:val="auto"/>
                <w:vertAlign w:val="superscript"/>
              </w:rPr>
              <w:t>(1)</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(539)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(539)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(47)</w:t>
            </w:r>
          </w:p>
        </w:tc>
      </w:tr>
      <w:tr>
        <w:trPr>
          <w:trHeight w:val="157"/>
        </w:trPr>
        <w:tc>
          <w:tcPr>
            <w:tcW w:w="448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Less: renewable energy investment tax credit benefit</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(920)</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rPr>
              <w:t>(920)</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r>
      <w:tr>
        <w:trPr>
          <w:trHeight w:val="172"/>
        </w:trPr>
        <w:tc>
          <w:tcPr>
            <w:tcW w:w="4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Adjusted net income</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15,820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13,446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12,061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44,253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36,770</w:t>
            </w:r>
          </w:p>
        </w:tc>
      </w:tr>
      <w:tr>
        <w:trPr>
          <w:trHeight w:val="126"/>
        </w:trPr>
        <w:tc>
          <w:tcPr>
            <w:tcW w:w="448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r>
      <w:tr>
        <w:trPr>
          <w:trHeight w:val="162"/>
        </w:trPr>
        <w:tc>
          <w:tcPr>
            <w:tcW w:w="4480" w:type="dxa"/>
            <w:vAlign w:val="bottom"/>
            <w:shd w:val="clear" w:color="auto" w:fill="CCEEFF"/>
          </w:tcPr>
          <w:p>
            <w:pPr>
              <w:spacing w:after="0"/>
              <w:rPr>
                <w:sz w:val="20"/>
                <w:szCs w:val="20"/>
                <w:color w:val="auto"/>
              </w:rPr>
            </w:pPr>
            <w:r>
              <w:rPr>
                <w:rFonts w:ascii="Arial" w:cs="Arial" w:eastAsia="Arial" w:hAnsi="Arial"/>
                <w:sz w:val="11"/>
                <w:szCs w:val="11"/>
                <w:color w:val="auto"/>
              </w:rPr>
              <w:t>Basic weighted average common shares outstanding</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10,380,906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10,369,791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10,489,496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10,369,257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10,505,896</w:t>
            </w:r>
          </w:p>
        </w:tc>
      </w:tr>
      <w:tr>
        <w:trPr>
          <w:trHeight w:val="156"/>
        </w:trPr>
        <w:tc>
          <w:tcPr>
            <w:tcW w:w="4480" w:type="dxa"/>
            <w:vAlign w:val="bottom"/>
          </w:tcPr>
          <w:p>
            <w:pPr>
              <w:spacing w:after="0"/>
              <w:rPr>
                <w:sz w:val="20"/>
                <w:szCs w:val="20"/>
                <w:color w:val="auto"/>
              </w:rPr>
            </w:pPr>
            <w:r>
              <w:rPr>
                <w:rFonts w:ascii="Arial" w:cs="Arial" w:eastAsia="Arial" w:hAnsi="Arial"/>
                <w:sz w:val="11"/>
                <w:szCs w:val="11"/>
                <w:color w:val="auto"/>
              </w:rPr>
              <w:t>Diluted weighted average common shares outstanding</w:t>
            </w:r>
          </w:p>
        </w:tc>
        <w:tc>
          <w:tcPr>
            <w:tcW w:w="220" w:type="dxa"/>
            <w:vAlign w:val="bottom"/>
          </w:tcPr>
          <w:p>
            <w:pPr>
              <w:spacing w:after="0"/>
              <w:rPr>
                <w:sz w:val="13"/>
                <w:szCs w:val="13"/>
                <w:color w:val="auto"/>
              </w:rPr>
            </w:pP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10,542,098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10,507,662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10,601,694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ind w:right="27"/>
              <w:spacing w:after="0"/>
              <w:rPr>
                <w:sz w:val="20"/>
                <w:szCs w:val="20"/>
                <w:color w:val="auto"/>
              </w:rPr>
            </w:pPr>
            <w:r>
              <w:rPr>
                <w:rFonts w:ascii="Arial" w:cs="Arial" w:eastAsia="Arial" w:hAnsi="Arial"/>
                <w:sz w:val="11"/>
                <w:szCs w:val="11"/>
                <w:color w:val="auto"/>
              </w:rPr>
              <w:t>10,513,013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10,617,773</w:t>
            </w:r>
          </w:p>
        </w:tc>
      </w:tr>
      <w:tr>
        <w:trPr>
          <w:trHeight w:val="150"/>
        </w:trPr>
        <w:tc>
          <w:tcPr>
            <w:tcW w:w="4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7"/>
        </w:trPr>
        <w:tc>
          <w:tcPr>
            <w:tcW w:w="4480" w:type="dxa"/>
            <w:vAlign w:val="bottom"/>
          </w:tcPr>
          <w:p>
            <w:pPr>
              <w:spacing w:after="0"/>
              <w:rPr>
                <w:sz w:val="20"/>
                <w:szCs w:val="20"/>
                <w:color w:val="auto"/>
              </w:rPr>
            </w:pPr>
            <w:r>
              <w:rPr>
                <w:rFonts w:ascii="Arial" w:cs="Arial" w:eastAsia="Arial" w:hAnsi="Arial"/>
                <w:sz w:val="11"/>
                <w:szCs w:val="11"/>
                <w:color w:val="auto"/>
              </w:rPr>
              <w:t>Basic EPS</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1.61</w:t>
            </w:r>
          </w:p>
        </w:tc>
        <w:tc>
          <w:tcPr>
            <w:tcW w:w="3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1.17</w:t>
            </w:r>
          </w:p>
        </w:tc>
        <w:tc>
          <w:tcPr>
            <w:tcW w:w="10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1.15</w:t>
            </w:r>
          </w:p>
        </w:tc>
        <w:tc>
          <w:tcPr>
            <w:tcW w:w="100" w:type="dxa"/>
            <w:vAlign w:val="bottom"/>
          </w:tcPr>
          <w:p>
            <w:pPr>
              <w:spacing w:after="0"/>
              <w:rPr>
                <w:sz w:val="13"/>
                <w:szCs w:val="13"/>
                <w:color w:val="auto"/>
              </w:rPr>
            </w:pP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27"/>
              <w:spacing w:after="0"/>
              <w:rPr>
                <w:sz w:val="20"/>
                <w:szCs w:val="20"/>
                <w:color w:val="auto"/>
              </w:rPr>
            </w:pPr>
            <w:r>
              <w:rPr>
                <w:rFonts w:ascii="Arial" w:cs="Arial" w:eastAsia="Arial" w:hAnsi="Arial"/>
                <w:sz w:val="11"/>
                <w:szCs w:val="11"/>
                <w:color w:val="auto"/>
              </w:rPr>
              <w:t>4.23</w:t>
            </w:r>
          </w:p>
        </w:tc>
        <w:tc>
          <w:tcPr>
            <w:tcW w:w="100" w:type="dxa"/>
            <w:vAlign w:val="bottom"/>
          </w:tcPr>
          <w:p>
            <w:pPr>
              <w:spacing w:after="0"/>
              <w:rPr>
                <w:sz w:val="13"/>
                <w:szCs w:val="13"/>
                <w:color w:val="auto"/>
              </w:rPr>
            </w:pP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3.49</w:t>
            </w:r>
          </w:p>
        </w:tc>
      </w:tr>
      <w:tr>
        <w:trPr>
          <w:trHeight w:val="167"/>
        </w:trPr>
        <w:tc>
          <w:tcPr>
            <w:tcW w:w="4480" w:type="dxa"/>
            <w:vAlign w:val="bottom"/>
            <w:shd w:val="clear" w:color="auto" w:fill="CCEEFF"/>
          </w:tcPr>
          <w:p>
            <w:pPr>
              <w:spacing w:after="0"/>
              <w:rPr>
                <w:sz w:val="20"/>
                <w:szCs w:val="20"/>
                <w:color w:val="auto"/>
              </w:rPr>
            </w:pPr>
            <w:r>
              <w:rPr>
                <w:rFonts w:ascii="Arial" w:cs="Arial" w:eastAsia="Arial" w:hAnsi="Arial"/>
                <w:sz w:val="11"/>
                <w:szCs w:val="11"/>
                <w:color w:val="auto"/>
              </w:rPr>
              <w:t>Diluted EPS</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1.59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1.14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4.17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3.45</w:t>
            </w:r>
          </w:p>
        </w:tc>
      </w:tr>
      <w:tr>
        <w:trPr>
          <w:trHeight w:val="157"/>
        </w:trPr>
        <w:tc>
          <w:tcPr>
            <w:tcW w:w="4480" w:type="dxa"/>
            <w:vAlign w:val="bottom"/>
          </w:tcPr>
          <w:p>
            <w:pPr>
              <w:spacing w:after="0"/>
              <w:rPr>
                <w:sz w:val="20"/>
                <w:szCs w:val="20"/>
                <w:color w:val="auto"/>
              </w:rPr>
            </w:pPr>
            <w:r>
              <w:rPr>
                <w:rFonts w:ascii="Arial" w:cs="Arial" w:eastAsia="Arial" w:hAnsi="Arial"/>
                <w:sz w:val="11"/>
                <w:szCs w:val="11"/>
                <w:color w:val="auto"/>
              </w:rPr>
              <w:t>Adjusted basic EPS</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1.52</w:t>
            </w:r>
          </w:p>
        </w:tc>
        <w:tc>
          <w:tcPr>
            <w:tcW w:w="3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1.29</w:t>
            </w:r>
          </w:p>
        </w:tc>
        <w:tc>
          <w:tcPr>
            <w:tcW w:w="10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1.15</w:t>
            </w:r>
          </w:p>
        </w:tc>
        <w:tc>
          <w:tcPr>
            <w:tcW w:w="100" w:type="dxa"/>
            <w:vAlign w:val="bottom"/>
          </w:tcPr>
          <w:p>
            <w:pPr>
              <w:spacing w:after="0"/>
              <w:rPr>
                <w:sz w:val="13"/>
                <w:szCs w:val="13"/>
                <w:color w:val="auto"/>
              </w:rPr>
            </w:pP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27"/>
              <w:spacing w:after="0"/>
              <w:rPr>
                <w:sz w:val="20"/>
                <w:szCs w:val="20"/>
                <w:color w:val="auto"/>
              </w:rPr>
            </w:pPr>
            <w:r>
              <w:rPr>
                <w:rFonts w:ascii="Arial" w:cs="Arial" w:eastAsia="Arial" w:hAnsi="Arial"/>
                <w:sz w:val="11"/>
                <w:szCs w:val="11"/>
                <w:color w:val="auto"/>
              </w:rPr>
              <w:t>4.27</w:t>
            </w:r>
          </w:p>
        </w:tc>
        <w:tc>
          <w:tcPr>
            <w:tcW w:w="100" w:type="dxa"/>
            <w:vAlign w:val="bottom"/>
          </w:tcPr>
          <w:p>
            <w:pPr>
              <w:spacing w:after="0"/>
              <w:rPr>
                <w:sz w:val="13"/>
                <w:szCs w:val="13"/>
                <w:color w:val="auto"/>
              </w:rPr>
            </w:pP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3.50</w:t>
            </w:r>
          </w:p>
        </w:tc>
      </w:tr>
      <w:tr>
        <w:trPr>
          <w:trHeight w:val="168"/>
        </w:trPr>
        <w:tc>
          <w:tcPr>
            <w:tcW w:w="4480" w:type="dxa"/>
            <w:vAlign w:val="bottom"/>
            <w:shd w:val="clear" w:color="auto" w:fill="CCEEFF"/>
          </w:tcPr>
          <w:p>
            <w:pPr>
              <w:spacing w:after="0"/>
              <w:rPr>
                <w:sz w:val="20"/>
                <w:szCs w:val="20"/>
                <w:color w:val="auto"/>
              </w:rPr>
            </w:pPr>
            <w:r>
              <w:rPr>
                <w:rFonts w:ascii="Arial" w:cs="Arial" w:eastAsia="Arial" w:hAnsi="Arial"/>
                <w:sz w:val="11"/>
                <w:szCs w:val="11"/>
                <w:color w:val="auto"/>
              </w:rPr>
              <w:t>Adjusted diluted EPS</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1.50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1.14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4.21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3.46</w:t>
            </w:r>
          </w:p>
        </w:tc>
      </w:tr>
    </w:tbl>
    <w:p>
      <w:pPr>
        <w:spacing w:after="0" w:line="54" w:lineRule="exact"/>
        <w:rPr>
          <w:sz w:val="20"/>
          <w:szCs w:val="20"/>
          <w:color w:val="auto"/>
        </w:rPr>
      </w:pPr>
    </w:p>
    <w:p>
      <w:pPr>
        <w:ind w:left="10080"/>
        <w:spacing w:after="0"/>
        <w:rPr>
          <w:sz w:val="20"/>
          <w:szCs w:val="20"/>
          <w:color w:val="auto"/>
        </w:rPr>
      </w:pPr>
      <w:r>
        <w:rPr>
          <w:rFonts w:ascii="Arial" w:cs="Arial" w:eastAsia="Arial" w:hAnsi="Arial"/>
          <w:sz w:val="10"/>
          <w:szCs w:val="10"/>
          <w:i w:val="1"/>
          <w:iCs w:val="1"/>
          <w:color w:val="auto"/>
        </w:rPr>
        <w:t>(Continued on next page)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300"/>
          </w:cols>
          <w:pgMar w:left="300" w:top="707" w:right="2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50"/>
        </w:trPr>
        <w:tc>
          <w:tcPr>
            <w:tcW w:w="4500" w:type="dxa"/>
            <w:vAlign w:val="bottom"/>
          </w:tcPr>
          <w:p>
            <w:pPr>
              <w:spacing w:after="0"/>
              <w:rPr>
                <w:sz w:val="20"/>
                <w:szCs w:val="20"/>
                <w:color w:val="auto"/>
              </w:rPr>
            </w:pPr>
            <w:r>
              <w:rPr>
                <w:rFonts w:ascii="Arial" w:cs="Arial" w:eastAsia="Arial" w:hAnsi="Arial"/>
                <w:sz w:val="11"/>
                <w:szCs w:val="11"/>
                <w:b w:val="1"/>
                <w:bCs w:val="1"/>
                <w:color w:val="auto"/>
              </w:rPr>
              <w:t xml:space="preserve">Non-GAAP Financial Measures </w:t>
            </w:r>
            <w:r>
              <w:rPr>
                <w:rFonts w:ascii="Arial" w:cs="Arial" w:eastAsia="Arial" w:hAnsi="Arial"/>
                <w:sz w:val="11"/>
                <w:szCs w:val="11"/>
                <w:i w:val="1"/>
                <w:iCs w:val="1"/>
                <w:color w:val="auto"/>
              </w:rPr>
              <w:t>(Continued)</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5"/>
              </w:rPr>
              <w:t>For the Three Months Ended</w:t>
            </w: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jc w:val="right"/>
              <w:ind w:right="606"/>
              <w:spacing w:after="0"/>
              <w:rPr>
                <w:sz w:val="20"/>
                <w:szCs w:val="20"/>
                <w:color w:val="auto"/>
              </w:rPr>
            </w:pPr>
            <w:r>
              <w:rPr>
                <w:rFonts w:ascii="Arial" w:cs="Arial" w:eastAsia="Arial" w:hAnsi="Arial"/>
                <w:sz w:val="10"/>
                <w:szCs w:val="10"/>
                <w:b w:val="1"/>
                <w:bCs w:val="1"/>
                <w:color w:val="auto"/>
              </w:rPr>
              <w:t>For the Nine Months Ended</w:t>
            </w:r>
          </w:p>
        </w:tc>
        <w:tc>
          <w:tcPr>
            <w:tcW w:w="0" w:type="dxa"/>
            <w:vAlign w:val="bottom"/>
          </w:tcPr>
          <w:p>
            <w:pPr>
              <w:spacing w:after="0"/>
              <w:rPr>
                <w:sz w:val="1"/>
                <w:szCs w:val="1"/>
                <w:color w:val="auto"/>
              </w:rPr>
            </w:pPr>
          </w:p>
        </w:tc>
      </w:tr>
      <w:tr>
        <w:trPr>
          <w:trHeight w:val="133"/>
        </w:trPr>
        <w:tc>
          <w:tcPr>
            <w:tcW w:w="4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306"/>
              <w:spacing w:after="0"/>
              <w:rPr>
                <w:sz w:val="20"/>
                <w:szCs w:val="20"/>
                <w:color w:val="auto"/>
              </w:rPr>
            </w:pPr>
            <w:r>
              <w:rPr>
                <w:rFonts w:ascii="Arial" w:cs="Arial" w:eastAsia="Arial" w:hAnsi="Arial"/>
                <w:sz w:val="10"/>
                <w:szCs w:val="10"/>
                <w:b w:val="1"/>
                <w:bCs w:val="1"/>
                <w:color w:val="auto"/>
              </w:rPr>
              <w:t>September 30,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4"/>
              </w:rPr>
              <w:t>June 30,</w:t>
            </w:r>
          </w:p>
        </w:tc>
        <w:tc>
          <w:tcPr>
            <w:tcW w:w="200" w:type="dxa"/>
            <w:vAlign w:val="bottom"/>
          </w:tcPr>
          <w:p>
            <w:pPr>
              <w:spacing w:after="0"/>
              <w:rPr>
                <w:sz w:val="11"/>
                <w:szCs w:val="11"/>
                <w:color w:val="auto"/>
              </w:rPr>
            </w:pPr>
          </w:p>
        </w:tc>
        <w:tc>
          <w:tcPr>
            <w:tcW w:w="1240" w:type="dxa"/>
            <w:vAlign w:val="bottom"/>
            <w:gridSpan w:val="2"/>
          </w:tcPr>
          <w:p>
            <w:pPr>
              <w:ind w:left="140"/>
              <w:spacing w:after="0"/>
              <w:rPr>
                <w:sz w:val="20"/>
                <w:szCs w:val="20"/>
                <w:color w:val="auto"/>
              </w:rPr>
            </w:pPr>
            <w:r>
              <w:rPr>
                <w:rFonts w:ascii="Arial" w:cs="Arial" w:eastAsia="Arial" w:hAnsi="Arial"/>
                <w:sz w:val="10"/>
                <w:szCs w:val="10"/>
                <w:b w:val="1"/>
                <w:bCs w:val="1"/>
                <w:color w:val="auto"/>
              </w:rPr>
              <w:t>September 30,</w:t>
            </w:r>
          </w:p>
        </w:tc>
        <w:tc>
          <w:tcPr>
            <w:tcW w:w="340" w:type="dxa"/>
            <w:vAlign w:val="bottom"/>
          </w:tcPr>
          <w:p>
            <w:pPr>
              <w:spacing w:after="0"/>
              <w:rPr>
                <w:sz w:val="11"/>
                <w:szCs w:val="11"/>
                <w:color w:val="auto"/>
              </w:rPr>
            </w:pPr>
          </w:p>
        </w:tc>
        <w:tc>
          <w:tcPr>
            <w:tcW w:w="1400" w:type="dxa"/>
            <w:vAlign w:val="bottom"/>
            <w:gridSpan w:val="3"/>
          </w:tcPr>
          <w:p>
            <w:pPr>
              <w:jc w:val="right"/>
              <w:ind w:right="71"/>
              <w:spacing w:after="0"/>
              <w:rPr>
                <w:sz w:val="20"/>
                <w:szCs w:val="20"/>
                <w:color w:val="auto"/>
              </w:rPr>
            </w:pPr>
            <w:r>
              <w:rPr>
                <w:rFonts w:ascii="Arial" w:cs="Arial" w:eastAsia="Arial" w:hAnsi="Arial"/>
                <w:sz w:val="10"/>
                <w:szCs w:val="10"/>
                <w:b w:val="1"/>
                <w:bCs w:val="1"/>
                <w:color w:val="auto"/>
              </w:rPr>
              <w:t>September 30,</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26"/>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207"/>
              <w:spacing w:after="0"/>
              <w:rPr>
                <w:sz w:val="20"/>
                <w:szCs w:val="20"/>
                <w:color w:val="auto"/>
              </w:rPr>
            </w:pPr>
            <w:r>
              <w:rPr>
                <w:rFonts w:ascii="Arial" w:cs="Arial" w:eastAsia="Arial" w:hAnsi="Arial"/>
                <w:sz w:val="10"/>
                <w:szCs w:val="10"/>
                <w:b w:val="1"/>
                <w:bCs w:val="1"/>
                <w:color w:val="auto"/>
                <w:w w:val="98"/>
              </w:rPr>
              <w:t>2026</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06"/>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87"/>
              <w:spacing w:after="0"/>
              <w:rPr>
                <w:sz w:val="20"/>
                <w:szCs w:val="20"/>
                <w:color w:val="auto"/>
              </w:rPr>
            </w:pPr>
            <w:r>
              <w:rPr>
                <w:rFonts w:ascii="Arial" w:cs="Arial" w:eastAsia="Arial" w:hAnsi="Arial"/>
                <w:sz w:val="10"/>
                <w:szCs w:val="10"/>
                <w:b w:val="1"/>
                <w:bCs w:val="1"/>
                <w:color w:val="auto"/>
              </w:rPr>
              <w:t>2026</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40"/>
        </w:trPr>
        <w:tc>
          <w:tcPr>
            <w:tcW w:w="4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80" w:type="dxa"/>
            <w:vAlign w:val="bottom"/>
            <w:gridSpan w:val="6"/>
          </w:tcPr>
          <w:p>
            <w:pPr>
              <w:jc w:val="right"/>
              <w:ind w:right="166"/>
              <w:spacing w:after="0"/>
              <w:rPr>
                <w:sz w:val="20"/>
                <w:szCs w:val="20"/>
                <w:color w:val="auto"/>
              </w:rPr>
            </w:pPr>
            <w:r>
              <w:rPr>
                <w:rFonts w:ascii="Arial" w:cs="Arial" w:eastAsia="Arial" w:hAnsi="Arial"/>
                <w:sz w:val="10"/>
                <w:szCs w:val="10"/>
                <w:i w:val="1"/>
                <w:iCs w:val="1"/>
                <w:color w:val="auto"/>
              </w:rPr>
              <w:t>(Dollars in thousands, except per share data)</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5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Return on Average Tangible Equity:</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0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16,740</w:t>
            </w:r>
          </w:p>
        </w:tc>
        <w:tc>
          <w:tcPr>
            <w:tcW w:w="3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27"/>
              <w:spacing w:after="0"/>
              <w:rPr>
                <w:sz w:val="20"/>
                <w:szCs w:val="20"/>
                <w:color w:val="auto"/>
              </w:rPr>
            </w:pPr>
            <w:r>
              <w:rPr>
                <w:rFonts w:ascii="Arial" w:cs="Arial" w:eastAsia="Arial" w:hAnsi="Arial"/>
                <w:sz w:val="11"/>
                <w:szCs w:val="11"/>
                <w:color w:val="auto"/>
              </w:rPr>
              <w:t>12,161</w:t>
            </w:r>
          </w:p>
        </w:tc>
        <w:tc>
          <w:tcPr>
            <w:tcW w:w="10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12,061</w:t>
            </w:r>
          </w:p>
        </w:tc>
        <w:tc>
          <w:tcPr>
            <w:tcW w:w="100" w:type="dxa"/>
            <w:vAlign w:val="bottom"/>
          </w:tcPr>
          <w:p>
            <w:pPr>
              <w:spacing w:after="0"/>
              <w:rPr>
                <w:sz w:val="13"/>
                <w:szCs w:val="13"/>
                <w:color w:val="auto"/>
              </w:rPr>
            </w:pP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27"/>
              <w:spacing w:after="0"/>
              <w:rPr>
                <w:sz w:val="20"/>
                <w:szCs w:val="20"/>
                <w:color w:val="auto"/>
              </w:rPr>
            </w:pPr>
            <w:r>
              <w:rPr>
                <w:rFonts w:ascii="Arial" w:cs="Arial" w:eastAsia="Arial" w:hAnsi="Arial"/>
                <w:sz w:val="11"/>
                <w:szCs w:val="11"/>
                <w:color w:val="auto"/>
              </w:rPr>
              <w:t>43,888</w:t>
            </w:r>
          </w:p>
        </w:tc>
        <w:tc>
          <w:tcPr>
            <w:tcW w:w="100" w:type="dxa"/>
            <w:vAlign w:val="bottom"/>
          </w:tcPr>
          <w:p>
            <w:pPr>
              <w:spacing w:after="0"/>
              <w:rPr>
                <w:sz w:val="13"/>
                <w:szCs w:val="13"/>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36,657</w:t>
            </w:r>
          </w:p>
        </w:tc>
        <w:tc>
          <w:tcPr>
            <w:tcW w:w="0" w:type="dxa"/>
            <w:vAlign w:val="bottom"/>
          </w:tcPr>
          <w:p>
            <w:pPr>
              <w:spacing w:after="0"/>
              <w:rPr>
                <w:sz w:val="1"/>
                <w:szCs w:val="1"/>
                <w:color w:val="auto"/>
              </w:rPr>
            </w:pPr>
          </w:p>
        </w:tc>
      </w:tr>
      <w:tr>
        <w:trPr>
          <w:trHeight w:val="168"/>
        </w:trPr>
        <w:tc>
          <w:tcPr>
            <w:tcW w:w="45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Add: amortization of intangible assets</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986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987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1,068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2,959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3,202</w:t>
            </w:r>
          </w:p>
        </w:tc>
        <w:tc>
          <w:tcPr>
            <w:tcW w:w="0" w:type="dxa"/>
            <w:vAlign w:val="bottom"/>
          </w:tcPr>
          <w:p>
            <w:pPr>
              <w:spacing w:after="0"/>
              <w:rPr>
                <w:sz w:val="1"/>
                <w:szCs w:val="1"/>
                <w:color w:val="auto"/>
              </w:rPr>
            </w:pPr>
          </w:p>
        </w:tc>
      </w:tr>
      <w:tr>
        <w:trPr>
          <w:trHeight w:val="162"/>
        </w:trPr>
        <w:tc>
          <w:tcPr>
            <w:tcW w:w="45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 xml:space="preserve">Less: tax adjustment </w:t>
            </w:r>
            <w:r>
              <w:rPr>
                <w:rFonts w:ascii="Arial" w:cs="Arial" w:eastAsia="Arial" w:hAnsi="Arial"/>
                <w:sz w:val="14"/>
                <w:szCs w:val="14"/>
                <w:color w:val="auto"/>
                <w:vertAlign w:val="superscript"/>
              </w:rPr>
              <w:t>(1)</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(291)</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rPr>
              <w:t>(292)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(316)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rPr>
              <w:t>(875)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(947)</w:t>
            </w:r>
          </w:p>
        </w:tc>
        <w:tc>
          <w:tcPr>
            <w:tcW w:w="0" w:type="dxa"/>
            <w:vAlign w:val="bottom"/>
          </w:tcPr>
          <w:p>
            <w:pPr>
              <w:spacing w:after="0"/>
              <w:rPr>
                <w:sz w:val="1"/>
                <w:szCs w:val="1"/>
                <w:color w:val="auto"/>
              </w:rPr>
            </w:pPr>
          </w:p>
        </w:tc>
      </w:tr>
      <w:tr>
        <w:trPr>
          <w:trHeight w:val="167"/>
        </w:trPr>
        <w:tc>
          <w:tcPr>
            <w:tcW w:w="45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income, adjusted for amortization of intangibles</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17,435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12,856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12,813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45,972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38,912</w:t>
            </w:r>
          </w:p>
        </w:tc>
        <w:tc>
          <w:tcPr>
            <w:tcW w:w="0" w:type="dxa"/>
            <w:vAlign w:val="bottom"/>
          </w:tcPr>
          <w:p>
            <w:pPr>
              <w:spacing w:after="0"/>
              <w:rPr>
                <w:sz w:val="1"/>
                <w:szCs w:val="1"/>
                <w:color w:val="auto"/>
              </w:rPr>
            </w:pPr>
          </w:p>
        </w:tc>
      </w:tr>
      <w:tr>
        <w:trPr>
          <w:trHeight w:val="54"/>
        </w:trPr>
        <w:tc>
          <w:tcPr>
            <w:tcW w:w="4500" w:type="dxa"/>
            <w:vAlign w:val="bottom"/>
            <w:tcBorders>
              <w:top w:val="single" w:sz="8" w:color="CCEEFF"/>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5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income</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16,740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12,161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12,061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43,888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36,657</w:t>
            </w:r>
          </w:p>
        </w:tc>
        <w:tc>
          <w:tcPr>
            <w:tcW w:w="0" w:type="dxa"/>
            <w:vAlign w:val="bottom"/>
          </w:tcPr>
          <w:p>
            <w:pPr>
              <w:spacing w:after="0"/>
              <w:rPr>
                <w:sz w:val="1"/>
                <w:szCs w:val="1"/>
                <w:color w:val="auto"/>
              </w:rPr>
            </w:pPr>
          </w:p>
        </w:tc>
      </w:tr>
      <w:tr>
        <w:trPr>
          <w:trHeight w:val="157"/>
        </w:trPr>
        <w:tc>
          <w:tcPr>
            <w:tcW w:w="4500" w:type="dxa"/>
            <w:vAlign w:val="bottom"/>
          </w:tcPr>
          <w:p>
            <w:pPr>
              <w:ind w:left="140"/>
              <w:spacing w:after="0"/>
              <w:rPr>
                <w:sz w:val="20"/>
                <w:szCs w:val="20"/>
                <w:color w:val="auto"/>
              </w:rPr>
            </w:pPr>
            <w:r>
              <w:rPr>
                <w:rFonts w:ascii="Arial" w:cs="Arial" w:eastAsia="Arial" w:hAnsi="Arial"/>
                <w:sz w:val="11"/>
                <w:szCs w:val="11"/>
                <w:color w:val="auto"/>
              </w:rPr>
              <w:t>Add: accelerated accretion on sub debt redemption</w:t>
            </w:r>
          </w:p>
        </w:tc>
        <w:tc>
          <w:tcPr>
            <w:tcW w:w="220" w:type="dxa"/>
            <w:vAlign w:val="bottom"/>
          </w:tcPr>
          <w:p>
            <w:pPr>
              <w:spacing w:after="0"/>
              <w:rPr>
                <w:sz w:val="13"/>
                <w:szCs w:val="1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27"/>
              <w:spacing w:after="0"/>
              <w:rPr>
                <w:sz w:val="20"/>
                <w:szCs w:val="20"/>
                <w:color w:val="auto"/>
              </w:rPr>
            </w:pPr>
            <w:r>
              <w:rPr>
                <w:rFonts w:ascii="Arial" w:cs="Arial" w:eastAsia="Arial" w:hAnsi="Arial"/>
                <w:sz w:val="11"/>
                <w:szCs w:val="11"/>
                <w:color w:val="auto"/>
              </w:rPr>
              <w:t>1,824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960" w:type="dxa"/>
            <w:vAlign w:val="bottom"/>
          </w:tcPr>
          <w:p>
            <w:pPr>
              <w:jc w:val="right"/>
              <w:ind w:right="27"/>
              <w:spacing w:after="0"/>
              <w:rPr>
                <w:sz w:val="20"/>
                <w:szCs w:val="20"/>
                <w:color w:val="auto"/>
              </w:rPr>
            </w:pPr>
            <w:r>
              <w:rPr>
                <w:rFonts w:ascii="Arial" w:cs="Arial" w:eastAsia="Arial" w:hAnsi="Arial"/>
                <w:sz w:val="11"/>
                <w:szCs w:val="11"/>
                <w:color w:val="auto"/>
              </w:rPr>
              <w:t>1,824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160</w:t>
            </w:r>
          </w:p>
        </w:tc>
        <w:tc>
          <w:tcPr>
            <w:tcW w:w="0" w:type="dxa"/>
            <w:vAlign w:val="bottom"/>
          </w:tcPr>
          <w:p>
            <w:pPr>
              <w:spacing w:after="0"/>
              <w:rPr>
                <w:sz w:val="1"/>
                <w:szCs w:val="1"/>
                <w:color w:val="auto"/>
              </w:rPr>
            </w:pPr>
          </w:p>
        </w:tc>
      </w:tr>
      <w:tr>
        <w:trPr>
          <w:trHeight w:val="167"/>
        </w:trPr>
        <w:tc>
          <w:tcPr>
            <w:tcW w:w="45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 xml:space="preserve">Less: tax adjustment for accelerated accretion on sub debt redemption </w:t>
            </w:r>
            <w:r>
              <w:rPr>
                <w:rFonts w:ascii="Arial" w:cs="Arial" w:eastAsia="Arial" w:hAnsi="Arial"/>
                <w:sz w:val="14"/>
                <w:szCs w:val="14"/>
                <w:color w:val="auto"/>
                <w:vertAlign w:val="superscript"/>
              </w:rPr>
              <w:t>(1)</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(539)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(539)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57"/>
        </w:trPr>
        <w:tc>
          <w:tcPr>
            <w:tcW w:w="45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Less: renewable energy investment tax credit benefit</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(920)</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rPr>
              <w:t>(920)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4500" w:type="dxa"/>
            <w:vAlign w:val="bottom"/>
            <w:shd w:val="clear" w:color="auto" w:fill="CCEEFF"/>
          </w:tcPr>
          <w:p>
            <w:pPr>
              <w:ind w:left="140"/>
              <w:spacing w:after="0" w:line="121" w:lineRule="exact"/>
              <w:rPr>
                <w:sz w:val="20"/>
                <w:szCs w:val="20"/>
                <w:color w:val="auto"/>
              </w:rPr>
            </w:pPr>
            <w:r>
              <w:rPr>
                <w:rFonts w:ascii="Arial" w:cs="Arial" w:eastAsia="Arial" w:hAnsi="Arial"/>
                <w:sz w:val="11"/>
                <w:szCs w:val="11"/>
                <w:color w:val="auto"/>
              </w:rPr>
              <w:t>Net income, adjusted for accelerated accretion on sub debt redemption and renewable</w:t>
            </w:r>
          </w:p>
        </w:tc>
        <w:tc>
          <w:tcPr>
            <w:tcW w:w="22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15,820</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0" w:type="dxa"/>
            <w:vAlign w:val="bottom"/>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13,446</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12,061</w:t>
            </w:r>
          </w:p>
        </w:tc>
        <w:tc>
          <w:tcPr>
            <w:tcW w:w="1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960" w:type="dxa"/>
            <w:vAlign w:val="bottom"/>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44,253</w:t>
            </w:r>
          </w:p>
        </w:tc>
        <w:tc>
          <w:tcPr>
            <w:tcW w:w="1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82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36,770</w:t>
            </w:r>
          </w:p>
        </w:tc>
        <w:tc>
          <w:tcPr>
            <w:tcW w:w="0" w:type="dxa"/>
            <w:vAlign w:val="bottom"/>
          </w:tcPr>
          <w:p>
            <w:pPr>
              <w:spacing w:after="0"/>
              <w:rPr>
                <w:sz w:val="1"/>
                <w:szCs w:val="1"/>
                <w:color w:val="auto"/>
              </w:rPr>
            </w:pPr>
          </w:p>
        </w:tc>
      </w:tr>
      <w:tr>
        <w:trPr>
          <w:trHeight w:val="160"/>
        </w:trPr>
        <w:tc>
          <w:tcPr>
            <w:tcW w:w="45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energy tax credit investment benefit</w:t>
            </w:r>
          </w:p>
        </w:tc>
        <w:tc>
          <w:tcPr>
            <w:tcW w:w="220" w:type="dxa"/>
            <w:vAlign w:val="bottom"/>
            <w:vMerge w:val="continue"/>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500" w:type="dxa"/>
            <w:vAlign w:val="bottom"/>
            <w:tcBorders>
              <w:top w:val="single" w:sz="8" w:color="CCEEFF"/>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5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income, adjusted for amortization of intangibles</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17,435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12,856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12,813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45,972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38,912</w:t>
            </w:r>
          </w:p>
        </w:tc>
        <w:tc>
          <w:tcPr>
            <w:tcW w:w="0" w:type="dxa"/>
            <w:vAlign w:val="bottom"/>
          </w:tcPr>
          <w:p>
            <w:pPr>
              <w:spacing w:after="0"/>
              <w:rPr>
                <w:sz w:val="1"/>
                <w:szCs w:val="1"/>
                <w:color w:val="auto"/>
              </w:rPr>
            </w:pPr>
          </w:p>
        </w:tc>
      </w:tr>
      <w:tr>
        <w:trPr>
          <w:trHeight w:val="157"/>
        </w:trPr>
        <w:tc>
          <w:tcPr>
            <w:tcW w:w="4500" w:type="dxa"/>
            <w:vAlign w:val="bottom"/>
          </w:tcPr>
          <w:p>
            <w:pPr>
              <w:ind w:left="140"/>
              <w:spacing w:after="0"/>
              <w:rPr>
                <w:sz w:val="20"/>
                <w:szCs w:val="20"/>
                <w:color w:val="auto"/>
              </w:rPr>
            </w:pPr>
            <w:r>
              <w:rPr>
                <w:rFonts w:ascii="Arial" w:cs="Arial" w:eastAsia="Arial" w:hAnsi="Arial"/>
                <w:sz w:val="11"/>
                <w:szCs w:val="11"/>
                <w:color w:val="auto"/>
              </w:rPr>
              <w:t>Add: accelerated accretion on sub debt redemption</w:t>
            </w:r>
          </w:p>
        </w:tc>
        <w:tc>
          <w:tcPr>
            <w:tcW w:w="220" w:type="dxa"/>
            <w:vAlign w:val="bottom"/>
          </w:tcPr>
          <w:p>
            <w:pPr>
              <w:spacing w:after="0"/>
              <w:rPr>
                <w:sz w:val="13"/>
                <w:szCs w:val="1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27"/>
              <w:spacing w:after="0"/>
              <w:rPr>
                <w:sz w:val="20"/>
                <w:szCs w:val="20"/>
                <w:color w:val="auto"/>
              </w:rPr>
            </w:pPr>
            <w:r>
              <w:rPr>
                <w:rFonts w:ascii="Arial" w:cs="Arial" w:eastAsia="Arial" w:hAnsi="Arial"/>
                <w:sz w:val="11"/>
                <w:szCs w:val="11"/>
                <w:color w:val="auto"/>
              </w:rPr>
              <w:t>1,824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960" w:type="dxa"/>
            <w:vAlign w:val="bottom"/>
          </w:tcPr>
          <w:p>
            <w:pPr>
              <w:jc w:val="right"/>
              <w:ind w:right="27"/>
              <w:spacing w:after="0"/>
              <w:rPr>
                <w:sz w:val="20"/>
                <w:szCs w:val="20"/>
                <w:color w:val="auto"/>
              </w:rPr>
            </w:pPr>
            <w:r>
              <w:rPr>
                <w:rFonts w:ascii="Arial" w:cs="Arial" w:eastAsia="Arial" w:hAnsi="Arial"/>
                <w:sz w:val="11"/>
                <w:szCs w:val="11"/>
                <w:color w:val="auto"/>
              </w:rPr>
              <w:t>1,824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160</w:t>
            </w:r>
          </w:p>
        </w:tc>
        <w:tc>
          <w:tcPr>
            <w:tcW w:w="0" w:type="dxa"/>
            <w:vAlign w:val="bottom"/>
          </w:tcPr>
          <w:p>
            <w:pPr>
              <w:spacing w:after="0"/>
              <w:rPr>
                <w:sz w:val="1"/>
                <w:szCs w:val="1"/>
                <w:color w:val="auto"/>
              </w:rPr>
            </w:pPr>
          </w:p>
        </w:tc>
      </w:tr>
      <w:tr>
        <w:trPr>
          <w:trHeight w:val="167"/>
        </w:trPr>
        <w:tc>
          <w:tcPr>
            <w:tcW w:w="45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Less: tax adjustment for accelerated accretion on sub debt redemption</w:t>
            </w:r>
            <w:r>
              <w:rPr>
                <w:rFonts w:ascii="Arial" w:cs="Arial" w:eastAsia="Arial" w:hAnsi="Arial"/>
                <w:sz w:val="14"/>
                <w:szCs w:val="14"/>
                <w:color w:val="auto"/>
                <w:vertAlign w:val="superscript"/>
              </w:rPr>
              <w:t>(1)</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(539)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(539)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57"/>
        </w:trPr>
        <w:tc>
          <w:tcPr>
            <w:tcW w:w="45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Less: renewable energy investment tax credit benefit</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(920)</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rPr>
              <w:t>(920)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4500" w:type="dxa"/>
            <w:vAlign w:val="bottom"/>
            <w:shd w:val="clear" w:color="auto" w:fill="CCEEFF"/>
          </w:tcPr>
          <w:p>
            <w:pPr>
              <w:ind w:left="140"/>
              <w:spacing w:after="0" w:line="121" w:lineRule="exact"/>
              <w:rPr>
                <w:sz w:val="20"/>
                <w:szCs w:val="20"/>
                <w:color w:val="auto"/>
              </w:rPr>
            </w:pPr>
            <w:r>
              <w:rPr>
                <w:rFonts w:ascii="Arial" w:cs="Arial" w:eastAsia="Arial" w:hAnsi="Arial"/>
                <w:sz w:val="11"/>
                <w:szCs w:val="11"/>
                <w:color w:val="auto"/>
              </w:rPr>
              <w:t>Net income, adjusted for amortization of intangibles, accelerated accretion on sub debt</w:t>
            </w:r>
          </w:p>
        </w:tc>
        <w:tc>
          <w:tcPr>
            <w:tcW w:w="22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16,515</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0" w:type="dxa"/>
            <w:vAlign w:val="bottom"/>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14,141</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12,813</w:t>
            </w:r>
          </w:p>
        </w:tc>
        <w:tc>
          <w:tcPr>
            <w:tcW w:w="1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960" w:type="dxa"/>
            <w:vAlign w:val="bottom"/>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46,337</w:t>
            </w:r>
          </w:p>
        </w:tc>
        <w:tc>
          <w:tcPr>
            <w:tcW w:w="1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82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39,025</w:t>
            </w:r>
          </w:p>
        </w:tc>
        <w:tc>
          <w:tcPr>
            <w:tcW w:w="0" w:type="dxa"/>
            <w:vAlign w:val="bottom"/>
          </w:tcPr>
          <w:p>
            <w:pPr>
              <w:spacing w:after="0"/>
              <w:rPr>
                <w:sz w:val="1"/>
                <w:szCs w:val="1"/>
                <w:color w:val="auto"/>
              </w:rPr>
            </w:pPr>
          </w:p>
        </w:tc>
      </w:tr>
      <w:tr>
        <w:trPr>
          <w:trHeight w:val="160"/>
        </w:trPr>
        <w:tc>
          <w:tcPr>
            <w:tcW w:w="45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redemption, and renewable energy investment tax credit benefit</w:t>
            </w:r>
          </w:p>
        </w:tc>
        <w:tc>
          <w:tcPr>
            <w:tcW w:w="220" w:type="dxa"/>
            <w:vAlign w:val="bottom"/>
            <w:vMerge w:val="continue"/>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500" w:type="dxa"/>
            <w:vAlign w:val="bottom"/>
            <w:tcBorders>
              <w:top w:val="single" w:sz="8" w:color="CCEEFF"/>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500" w:type="dxa"/>
            <w:vAlign w:val="bottom"/>
            <w:shd w:val="clear" w:color="auto" w:fill="CCEEFF"/>
          </w:tcPr>
          <w:p>
            <w:pPr>
              <w:spacing w:after="0"/>
              <w:rPr>
                <w:sz w:val="20"/>
                <w:szCs w:val="20"/>
                <w:color w:val="auto"/>
              </w:rPr>
            </w:pPr>
            <w:r>
              <w:rPr>
                <w:rFonts w:ascii="Arial" w:cs="Arial" w:eastAsia="Arial" w:hAnsi="Arial"/>
                <w:sz w:val="11"/>
                <w:szCs w:val="11"/>
                <w:color w:val="auto"/>
              </w:rPr>
              <w:t>Average equity</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404,098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395,954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363,685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395,289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352,907</w:t>
            </w:r>
          </w:p>
        </w:tc>
        <w:tc>
          <w:tcPr>
            <w:tcW w:w="0" w:type="dxa"/>
            <w:vAlign w:val="bottom"/>
          </w:tcPr>
          <w:p>
            <w:pPr>
              <w:spacing w:after="0"/>
              <w:rPr>
                <w:sz w:val="1"/>
                <w:szCs w:val="1"/>
                <w:color w:val="auto"/>
              </w:rPr>
            </w:pPr>
          </w:p>
        </w:tc>
      </w:tr>
      <w:tr>
        <w:trPr>
          <w:trHeight w:val="157"/>
        </w:trPr>
        <w:tc>
          <w:tcPr>
            <w:tcW w:w="450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Less: average intangible assets</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(61,585)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rPr>
              <w:t>(62,579)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(65,592)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rPr>
              <w:t>(62,568)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(66,651)</w:t>
            </w:r>
          </w:p>
        </w:tc>
        <w:tc>
          <w:tcPr>
            <w:tcW w:w="0" w:type="dxa"/>
            <w:vAlign w:val="bottom"/>
          </w:tcPr>
          <w:p>
            <w:pPr>
              <w:spacing w:after="0"/>
              <w:rPr>
                <w:sz w:val="1"/>
                <w:szCs w:val="1"/>
                <w:color w:val="auto"/>
              </w:rPr>
            </w:pPr>
          </w:p>
        </w:tc>
      </w:tr>
      <w:tr>
        <w:trPr>
          <w:trHeight w:val="173"/>
        </w:trPr>
        <w:tc>
          <w:tcPr>
            <w:tcW w:w="4500" w:type="dxa"/>
            <w:vAlign w:val="bottom"/>
            <w:shd w:val="clear" w:color="auto" w:fill="CCEEFF"/>
          </w:tcPr>
          <w:p>
            <w:pPr>
              <w:spacing w:after="0"/>
              <w:rPr>
                <w:sz w:val="20"/>
                <w:szCs w:val="20"/>
                <w:color w:val="auto"/>
              </w:rPr>
            </w:pPr>
            <w:r>
              <w:rPr>
                <w:rFonts w:ascii="Arial" w:cs="Arial" w:eastAsia="Arial" w:hAnsi="Arial"/>
                <w:sz w:val="11"/>
                <w:szCs w:val="11"/>
                <w:color w:val="auto"/>
              </w:rPr>
              <w:t>Average tangible equity</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342,513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333,375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298,093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332,721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286,256</w:t>
            </w:r>
          </w:p>
        </w:tc>
        <w:tc>
          <w:tcPr>
            <w:tcW w:w="0" w:type="dxa"/>
            <w:vAlign w:val="bottom"/>
          </w:tcPr>
          <w:p>
            <w:pPr>
              <w:spacing w:after="0"/>
              <w:rPr>
                <w:sz w:val="1"/>
                <w:szCs w:val="1"/>
                <w:color w:val="auto"/>
              </w:rPr>
            </w:pPr>
          </w:p>
        </w:tc>
      </w:tr>
      <w:tr>
        <w:trPr>
          <w:trHeight w:val="54"/>
        </w:trPr>
        <w:tc>
          <w:tcPr>
            <w:tcW w:w="4500" w:type="dxa"/>
            <w:vAlign w:val="bottom"/>
            <w:tcBorders>
              <w:top w:val="single" w:sz="8" w:color="CCEEFF"/>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500" w:type="dxa"/>
            <w:vAlign w:val="bottom"/>
            <w:shd w:val="clear" w:color="auto" w:fill="CCEEFF"/>
          </w:tcPr>
          <w:p>
            <w:pPr>
              <w:spacing w:after="0"/>
              <w:rPr>
                <w:sz w:val="20"/>
                <w:szCs w:val="20"/>
                <w:color w:val="auto"/>
              </w:rPr>
            </w:pPr>
            <w:r>
              <w:rPr>
                <w:rFonts w:ascii="Arial" w:cs="Arial" w:eastAsia="Arial" w:hAnsi="Arial"/>
                <w:sz w:val="11"/>
                <w:szCs w:val="11"/>
                <w:color w:val="auto"/>
              </w:rPr>
              <w:t>Return on average equity</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16.44 %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12.32 %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13.16 %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14.84 %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13.89 %</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20"/>
                <w:szCs w:val="20"/>
                <w:color w:val="auto"/>
              </w:rPr>
            </w:pPr>
            <w:r>
              <w:rPr>
                <w:rFonts w:ascii="Arial" w:cs="Arial" w:eastAsia="Arial" w:hAnsi="Arial"/>
                <w:sz w:val="11"/>
                <w:szCs w:val="11"/>
                <w:color w:val="auto"/>
              </w:rPr>
              <w:t>Return on average equity, adjusted for accelerated accretion on sub debt redemption and</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500" w:type="dxa"/>
            <w:vAlign w:val="bottom"/>
          </w:tcPr>
          <w:p>
            <w:pPr>
              <w:spacing w:after="0"/>
              <w:rPr>
                <w:sz w:val="20"/>
                <w:szCs w:val="20"/>
                <w:color w:val="auto"/>
              </w:rPr>
            </w:pPr>
            <w:r>
              <w:rPr>
                <w:rFonts w:ascii="Arial" w:cs="Arial" w:eastAsia="Arial" w:hAnsi="Arial"/>
                <w:sz w:val="11"/>
                <w:szCs w:val="11"/>
                <w:color w:val="auto"/>
              </w:rPr>
              <w:t>renewable energy investment tax credit benefit</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15.53 %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13.62 %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13.16 %</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14.97 %</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13.93 %</w:t>
            </w:r>
          </w:p>
        </w:tc>
        <w:tc>
          <w:tcPr>
            <w:tcW w:w="0" w:type="dxa"/>
            <w:vAlign w:val="bottom"/>
          </w:tcPr>
          <w:p>
            <w:pPr>
              <w:spacing w:after="0"/>
              <w:rPr>
                <w:sz w:val="1"/>
                <w:szCs w:val="1"/>
                <w:color w:val="auto"/>
              </w:rPr>
            </w:pPr>
          </w:p>
        </w:tc>
      </w:tr>
      <w:tr>
        <w:trPr>
          <w:trHeight w:val="168"/>
        </w:trPr>
        <w:tc>
          <w:tcPr>
            <w:tcW w:w="4500" w:type="dxa"/>
            <w:vAlign w:val="bottom"/>
            <w:shd w:val="clear" w:color="auto" w:fill="CCEEFF"/>
          </w:tcPr>
          <w:p>
            <w:pPr>
              <w:spacing w:after="0"/>
              <w:rPr>
                <w:sz w:val="20"/>
                <w:szCs w:val="20"/>
                <w:color w:val="auto"/>
              </w:rPr>
            </w:pPr>
            <w:r>
              <w:rPr>
                <w:rFonts w:ascii="Arial" w:cs="Arial" w:eastAsia="Arial" w:hAnsi="Arial"/>
                <w:sz w:val="11"/>
                <w:szCs w:val="11"/>
                <w:color w:val="auto"/>
              </w:rPr>
              <w:t>Return on average tangible equity</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20.20 %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15.47 %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17.05 %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18.47 %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18.17 %</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20"/>
                <w:szCs w:val="20"/>
                <w:color w:val="auto"/>
              </w:rPr>
            </w:pPr>
            <w:r>
              <w:rPr>
                <w:rFonts w:ascii="Arial" w:cs="Arial" w:eastAsia="Arial" w:hAnsi="Arial"/>
                <w:sz w:val="11"/>
                <w:szCs w:val="11"/>
                <w:color w:val="auto"/>
                <w:w w:val="98"/>
              </w:rPr>
              <w:t>Return on average tangible equity, adjusted for accelerated accretion on sub debt redemption</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500" w:type="dxa"/>
            <w:vAlign w:val="bottom"/>
          </w:tcPr>
          <w:p>
            <w:pPr>
              <w:spacing w:after="0"/>
              <w:rPr>
                <w:sz w:val="20"/>
                <w:szCs w:val="20"/>
                <w:color w:val="auto"/>
              </w:rPr>
            </w:pPr>
            <w:r>
              <w:rPr>
                <w:rFonts w:ascii="Arial" w:cs="Arial" w:eastAsia="Arial" w:hAnsi="Arial"/>
                <w:sz w:val="11"/>
                <w:szCs w:val="11"/>
                <w:color w:val="auto"/>
              </w:rPr>
              <w:t>and renewable energy investment tax credit benefit</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19.13 %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17.01 %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17.05 %</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18.62 %</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18.23 %</w:t>
            </w:r>
          </w:p>
        </w:tc>
        <w:tc>
          <w:tcPr>
            <w:tcW w:w="0" w:type="dxa"/>
            <w:vAlign w:val="bottom"/>
          </w:tcPr>
          <w:p>
            <w:pPr>
              <w:spacing w:after="0"/>
              <w:rPr>
                <w:sz w:val="1"/>
                <w:szCs w:val="1"/>
                <w:color w:val="auto"/>
              </w:rPr>
            </w:pPr>
          </w:p>
        </w:tc>
      </w:tr>
      <w:tr>
        <w:trPr>
          <w:trHeight w:val="78"/>
        </w:trPr>
        <w:tc>
          <w:tcPr>
            <w:tcW w:w="45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4500" w:type="dxa"/>
            <w:vAlign w:val="bottom"/>
          </w:tcPr>
          <w:p>
            <w:pPr>
              <w:spacing w:after="0"/>
              <w:rPr>
                <w:sz w:val="20"/>
                <w:szCs w:val="20"/>
                <w:color w:val="auto"/>
              </w:rPr>
            </w:pPr>
            <w:r>
              <w:rPr>
                <w:rFonts w:ascii="Arial" w:cs="Arial" w:eastAsia="Arial" w:hAnsi="Arial"/>
                <w:sz w:val="11"/>
                <w:szCs w:val="11"/>
                <w:b w:val="1"/>
                <w:bCs w:val="1"/>
                <w:color w:val="auto"/>
              </w:rPr>
              <w:t>Adjusted Return on Average Assets:</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5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income</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16,740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12,161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12,061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43,888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36,657</w:t>
            </w:r>
          </w:p>
        </w:tc>
        <w:tc>
          <w:tcPr>
            <w:tcW w:w="0" w:type="dxa"/>
            <w:vAlign w:val="bottom"/>
          </w:tcPr>
          <w:p>
            <w:pPr>
              <w:spacing w:after="0"/>
              <w:rPr>
                <w:sz w:val="1"/>
                <w:szCs w:val="1"/>
                <w:color w:val="auto"/>
              </w:rPr>
            </w:pPr>
          </w:p>
        </w:tc>
      </w:tr>
      <w:tr>
        <w:trPr>
          <w:trHeight w:val="157"/>
        </w:trPr>
        <w:tc>
          <w:tcPr>
            <w:tcW w:w="4500" w:type="dxa"/>
            <w:vAlign w:val="bottom"/>
          </w:tcPr>
          <w:p>
            <w:pPr>
              <w:ind w:left="140"/>
              <w:spacing w:after="0"/>
              <w:rPr>
                <w:sz w:val="20"/>
                <w:szCs w:val="20"/>
                <w:color w:val="auto"/>
              </w:rPr>
            </w:pPr>
            <w:r>
              <w:rPr>
                <w:rFonts w:ascii="Arial" w:cs="Arial" w:eastAsia="Arial" w:hAnsi="Arial"/>
                <w:sz w:val="11"/>
                <w:szCs w:val="11"/>
                <w:color w:val="auto"/>
              </w:rPr>
              <w:t>Add: accelerated accretion on sub debt redemption</w:t>
            </w:r>
          </w:p>
        </w:tc>
        <w:tc>
          <w:tcPr>
            <w:tcW w:w="220" w:type="dxa"/>
            <w:vAlign w:val="bottom"/>
          </w:tcPr>
          <w:p>
            <w:pPr>
              <w:spacing w:after="0"/>
              <w:rPr>
                <w:sz w:val="13"/>
                <w:szCs w:val="1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27"/>
              <w:spacing w:after="0"/>
              <w:rPr>
                <w:sz w:val="20"/>
                <w:szCs w:val="20"/>
                <w:color w:val="auto"/>
              </w:rPr>
            </w:pPr>
            <w:r>
              <w:rPr>
                <w:rFonts w:ascii="Arial" w:cs="Arial" w:eastAsia="Arial" w:hAnsi="Arial"/>
                <w:sz w:val="11"/>
                <w:szCs w:val="11"/>
                <w:color w:val="auto"/>
              </w:rPr>
              <w:t>1,824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960" w:type="dxa"/>
            <w:vAlign w:val="bottom"/>
          </w:tcPr>
          <w:p>
            <w:pPr>
              <w:jc w:val="right"/>
              <w:ind w:right="27"/>
              <w:spacing w:after="0"/>
              <w:rPr>
                <w:sz w:val="20"/>
                <w:szCs w:val="20"/>
                <w:color w:val="auto"/>
              </w:rPr>
            </w:pPr>
            <w:r>
              <w:rPr>
                <w:rFonts w:ascii="Arial" w:cs="Arial" w:eastAsia="Arial" w:hAnsi="Arial"/>
                <w:sz w:val="11"/>
                <w:szCs w:val="11"/>
                <w:color w:val="auto"/>
              </w:rPr>
              <w:t>1,824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160</w:t>
            </w:r>
          </w:p>
        </w:tc>
        <w:tc>
          <w:tcPr>
            <w:tcW w:w="0" w:type="dxa"/>
            <w:vAlign w:val="bottom"/>
          </w:tcPr>
          <w:p>
            <w:pPr>
              <w:spacing w:after="0"/>
              <w:rPr>
                <w:sz w:val="1"/>
                <w:szCs w:val="1"/>
                <w:color w:val="auto"/>
              </w:rPr>
            </w:pPr>
          </w:p>
        </w:tc>
      </w:tr>
      <w:tr>
        <w:trPr>
          <w:trHeight w:val="168"/>
        </w:trPr>
        <w:tc>
          <w:tcPr>
            <w:tcW w:w="45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 xml:space="preserve">Less: tax adjustment for accelerated accretion on sub debt redemption </w:t>
            </w:r>
            <w:r>
              <w:rPr>
                <w:rFonts w:ascii="Arial" w:cs="Arial" w:eastAsia="Arial" w:hAnsi="Arial"/>
                <w:sz w:val="14"/>
                <w:szCs w:val="14"/>
                <w:color w:val="auto"/>
                <w:vertAlign w:val="superscript"/>
              </w:rPr>
              <w:t>(1)</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(539)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(539)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57"/>
        </w:trPr>
        <w:tc>
          <w:tcPr>
            <w:tcW w:w="45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Less: renewable energy investment tax credit benefit</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(920)</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rPr>
              <w:t>(920)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4500" w:type="dxa"/>
            <w:vAlign w:val="bottom"/>
            <w:shd w:val="clear" w:color="auto" w:fill="CCEEFF"/>
          </w:tcPr>
          <w:p>
            <w:pPr>
              <w:ind w:left="140"/>
              <w:spacing w:after="0" w:line="121" w:lineRule="exact"/>
              <w:rPr>
                <w:sz w:val="20"/>
                <w:szCs w:val="20"/>
                <w:color w:val="auto"/>
              </w:rPr>
            </w:pPr>
            <w:r>
              <w:rPr>
                <w:rFonts w:ascii="Arial" w:cs="Arial" w:eastAsia="Arial" w:hAnsi="Arial"/>
                <w:sz w:val="11"/>
                <w:szCs w:val="11"/>
                <w:color w:val="auto"/>
              </w:rPr>
              <w:t>Net income, adjusted for accelerated accretion on sub debt redemption and renewable</w:t>
            </w:r>
          </w:p>
        </w:tc>
        <w:tc>
          <w:tcPr>
            <w:tcW w:w="22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15,820</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0" w:type="dxa"/>
            <w:vAlign w:val="bottom"/>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13,446</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12,061</w:t>
            </w:r>
          </w:p>
        </w:tc>
        <w:tc>
          <w:tcPr>
            <w:tcW w:w="1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960" w:type="dxa"/>
            <w:vAlign w:val="bottom"/>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44,253</w:t>
            </w:r>
          </w:p>
        </w:tc>
        <w:tc>
          <w:tcPr>
            <w:tcW w:w="1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82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36,770</w:t>
            </w:r>
          </w:p>
        </w:tc>
        <w:tc>
          <w:tcPr>
            <w:tcW w:w="0" w:type="dxa"/>
            <w:vAlign w:val="bottom"/>
          </w:tcPr>
          <w:p>
            <w:pPr>
              <w:spacing w:after="0"/>
              <w:rPr>
                <w:sz w:val="1"/>
                <w:szCs w:val="1"/>
                <w:color w:val="auto"/>
              </w:rPr>
            </w:pPr>
          </w:p>
        </w:tc>
      </w:tr>
      <w:tr>
        <w:trPr>
          <w:trHeight w:val="160"/>
        </w:trPr>
        <w:tc>
          <w:tcPr>
            <w:tcW w:w="45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energy investment tax credit benefit</w:t>
            </w:r>
          </w:p>
        </w:tc>
        <w:tc>
          <w:tcPr>
            <w:tcW w:w="220" w:type="dxa"/>
            <w:vAlign w:val="bottom"/>
            <w:vMerge w:val="continue"/>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4500" w:type="dxa"/>
            <w:vAlign w:val="bottom"/>
            <w:tcBorders>
              <w:top w:val="single" w:sz="8" w:color="CCEEFF"/>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500" w:type="dxa"/>
            <w:vAlign w:val="bottom"/>
            <w:shd w:val="clear" w:color="auto" w:fill="CCEEFF"/>
          </w:tcPr>
          <w:p>
            <w:pPr>
              <w:spacing w:after="0"/>
              <w:rPr>
                <w:sz w:val="20"/>
                <w:szCs w:val="20"/>
                <w:color w:val="auto"/>
              </w:rPr>
            </w:pPr>
            <w:r>
              <w:rPr>
                <w:rFonts w:ascii="Arial" w:cs="Arial" w:eastAsia="Arial" w:hAnsi="Arial"/>
                <w:sz w:val="11"/>
                <w:szCs w:val="11"/>
                <w:color w:val="auto"/>
              </w:rPr>
              <w:t>Average assets</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3,011,804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2,879,579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2,772,657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2,921,726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2,693,855</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1"/>
                <w:szCs w:val="11"/>
                <w:color w:val="auto"/>
              </w:rPr>
              <w:t>Return on average assets</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2.21 %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1.69 %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1.73 %</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2.01 %</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1.82 %</w:t>
            </w:r>
          </w:p>
        </w:tc>
        <w:tc>
          <w:tcPr>
            <w:tcW w:w="0" w:type="dxa"/>
            <w:vAlign w:val="bottom"/>
          </w:tcPr>
          <w:p>
            <w:pPr>
              <w:spacing w:after="0"/>
              <w:rPr>
                <w:sz w:val="1"/>
                <w:szCs w:val="1"/>
                <w:color w:val="auto"/>
              </w:rPr>
            </w:pPr>
          </w:p>
        </w:tc>
      </w:tr>
      <w:tr>
        <w:trPr>
          <w:trHeight w:val="168"/>
        </w:trPr>
        <w:tc>
          <w:tcPr>
            <w:tcW w:w="4500" w:type="dxa"/>
            <w:vAlign w:val="bottom"/>
            <w:shd w:val="clear" w:color="auto" w:fill="CCEEFF"/>
          </w:tcPr>
          <w:p>
            <w:pPr>
              <w:spacing w:after="0"/>
              <w:rPr>
                <w:sz w:val="20"/>
                <w:szCs w:val="20"/>
                <w:color w:val="auto"/>
              </w:rPr>
            </w:pPr>
            <w:r>
              <w:rPr>
                <w:rFonts w:ascii="Arial" w:cs="Arial" w:eastAsia="Arial" w:hAnsi="Arial"/>
                <w:sz w:val="11"/>
                <w:szCs w:val="11"/>
                <w:color w:val="auto"/>
              </w:rPr>
              <w:t>Adjusted return on average assets</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178040" cy="91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9"/>
          <w:szCs w:val="9"/>
          <w:color w:val="auto"/>
        </w:rPr>
        <w:t>(1) Adjusted by combined statutory federal income tax rate of 21 percent and statutory state income tax rate of 10.84 percent.</w:t>
      </w:r>
    </w:p>
    <w:p>
      <w:pPr>
        <w:spacing w:after="0" w:line="85" w:lineRule="exact"/>
        <w:rPr>
          <w:sz w:val="20"/>
          <w:szCs w:val="20"/>
          <w:color w:val="auto"/>
        </w:rPr>
      </w:pPr>
    </w:p>
    <w:p>
      <w:pPr>
        <w:ind w:left="10080"/>
        <w:spacing w:after="0"/>
        <w:rPr>
          <w:sz w:val="20"/>
          <w:szCs w:val="20"/>
          <w:color w:val="auto"/>
        </w:rPr>
      </w:pPr>
      <w:r>
        <w:rPr>
          <w:rFonts w:ascii="Arial" w:cs="Arial" w:eastAsia="Arial" w:hAnsi="Arial"/>
          <w:sz w:val="10"/>
          <w:szCs w:val="10"/>
          <w:i w:val="1"/>
          <w:iCs w:val="1"/>
          <w:color w:val="auto"/>
        </w:rPr>
        <w:t>(Continued on next page)</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300"/>
          </w:cols>
          <w:pgMar w:left="300" w:top="707" w:right="2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50"/>
        </w:trPr>
        <w:tc>
          <w:tcPr>
            <w:tcW w:w="5840" w:type="dxa"/>
            <w:vAlign w:val="bottom"/>
          </w:tcPr>
          <w:p>
            <w:pPr>
              <w:spacing w:after="0"/>
              <w:rPr>
                <w:sz w:val="20"/>
                <w:szCs w:val="20"/>
                <w:color w:val="auto"/>
              </w:rPr>
            </w:pPr>
            <w:r>
              <w:rPr>
                <w:rFonts w:ascii="Arial" w:cs="Arial" w:eastAsia="Arial" w:hAnsi="Arial"/>
                <w:sz w:val="11"/>
                <w:szCs w:val="11"/>
                <w:b w:val="1"/>
                <w:bCs w:val="1"/>
                <w:color w:val="auto"/>
              </w:rPr>
              <w:t xml:space="preserve">Non-GAAP Financial Measures </w:t>
            </w:r>
            <w:r>
              <w:rPr>
                <w:rFonts w:ascii="Arial" w:cs="Arial" w:eastAsia="Arial" w:hAnsi="Arial"/>
                <w:sz w:val="11"/>
                <w:szCs w:val="11"/>
                <w:i w:val="1"/>
                <w:iCs w:val="1"/>
                <w:color w:val="auto"/>
              </w:rPr>
              <w:t>(Continued)</w:t>
            </w: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8"/>
              </w:rPr>
              <w:t>As of or for the Three Months Ended</w:t>
            </w: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r>
      <w:tr>
        <w:trPr>
          <w:trHeight w:val="148"/>
        </w:trPr>
        <w:tc>
          <w:tcPr>
            <w:tcW w:w="5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346"/>
              <w:spacing w:after="0"/>
              <w:rPr>
                <w:sz w:val="20"/>
                <w:szCs w:val="20"/>
                <w:color w:val="auto"/>
              </w:rPr>
            </w:pPr>
            <w:r>
              <w:rPr>
                <w:rFonts w:ascii="Arial" w:cs="Arial" w:eastAsia="Arial" w:hAnsi="Arial"/>
                <w:sz w:val="11"/>
                <w:szCs w:val="11"/>
                <w:b w:val="1"/>
                <w:bCs w:val="1"/>
                <w:color w:val="auto"/>
              </w:rPr>
              <w:t>September 30,</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1"/>
                <w:szCs w:val="11"/>
                <w:b w:val="1"/>
                <w:bCs w:val="1"/>
                <w:color w:val="auto"/>
                <w:w w:val="99"/>
              </w:rPr>
              <w:t>June 30,</w:t>
            </w:r>
          </w:p>
        </w:tc>
        <w:tc>
          <w:tcPr>
            <w:tcW w:w="240" w:type="dxa"/>
            <w:vAlign w:val="bottom"/>
          </w:tcPr>
          <w:p>
            <w:pPr>
              <w:spacing w:after="0"/>
              <w:rPr>
                <w:sz w:val="12"/>
                <w:szCs w:val="12"/>
                <w:color w:val="auto"/>
              </w:rPr>
            </w:pPr>
          </w:p>
        </w:tc>
        <w:tc>
          <w:tcPr>
            <w:tcW w:w="1300" w:type="dxa"/>
            <w:vAlign w:val="bottom"/>
          </w:tcPr>
          <w:p>
            <w:pPr>
              <w:jc w:val="right"/>
              <w:ind w:right="346"/>
              <w:spacing w:after="0"/>
              <w:rPr>
                <w:sz w:val="20"/>
                <w:szCs w:val="20"/>
                <w:color w:val="auto"/>
              </w:rPr>
            </w:pPr>
            <w:r>
              <w:rPr>
                <w:rFonts w:ascii="Arial" w:cs="Arial" w:eastAsia="Arial" w:hAnsi="Arial"/>
                <w:sz w:val="11"/>
                <w:szCs w:val="11"/>
                <w:b w:val="1"/>
                <w:bCs w:val="1"/>
                <w:color w:val="auto"/>
              </w:rPr>
              <w:t>September 30,</w:t>
            </w:r>
          </w:p>
        </w:tc>
      </w:tr>
      <w:tr>
        <w:trPr>
          <w:trHeight w:val="164"/>
        </w:trPr>
        <w:tc>
          <w:tcPr>
            <w:tcW w:w="5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2026</w:t>
            </w: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06"/>
              <w:spacing w:after="0"/>
              <w:rPr>
                <w:sz w:val="20"/>
                <w:szCs w:val="20"/>
                <w:color w:val="auto"/>
              </w:rPr>
            </w:pPr>
            <w:r>
              <w:rPr>
                <w:rFonts w:ascii="Arial" w:cs="Arial" w:eastAsia="Arial" w:hAnsi="Arial"/>
                <w:sz w:val="11"/>
                <w:szCs w:val="11"/>
                <w:b w:val="1"/>
                <w:bCs w:val="1"/>
                <w:color w:val="auto"/>
                <w:w w:val="97"/>
              </w:rPr>
              <w:t>2026</w:t>
            </w: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2025</w:t>
            </w:r>
          </w:p>
        </w:tc>
      </w:tr>
      <w:tr>
        <w:trPr>
          <w:trHeight w:val="148"/>
        </w:trPr>
        <w:tc>
          <w:tcPr>
            <w:tcW w:w="5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0" w:type="dxa"/>
            <w:vAlign w:val="bottom"/>
            <w:gridSpan w:val="4"/>
          </w:tcPr>
          <w:p>
            <w:pPr>
              <w:jc w:val="center"/>
              <w:spacing w:after="0"/>
              <w:rPr>
                <w:sz w:val="20"/>
                <w:szCs w:val="20"/>
                <w:color w:val="auto"/>
              </w:rPr>
            </w:pPr>
            <w:r>
              <w:rPr>
                <w:rFonts w:ascii="Arial" w:cs="Arial" w:eastAsia="Arial" w:hAnsi="Arial"/>
                <w:sz w:val="11"/>
                <w:szCs w:val="11"/>
                <w:i w:val="1"/>
                <w:iCs w:val="1"/>
                <w:color w:val="auto"/>
                <w:w w:val="98"/>
              </w:rPr>
              <w:t>(Dollars in thousands, except per share data)</w:t>
            </w: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68"/>
        </w:trPr>
        <w:tc>
          <w:tcPr>
            <w:tcW w:w="58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Tangible Common Equity:</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56"/>
        </w:trPr>
        <w:tc>
          <w:tcPr>
            <w:tcW w:w="5840" w:type="dxa"/>
            <w:vAlign w:val="bottom"/>
          </w:tcPr>
          <w:p>
            <w:pPr>
              <w:ind w:left="80"/>
              <w:spacing w:after="0"/>
              <w:rPr>
                <w:sz w:val="20"/>
                <w:szCs w:val="20"/>
                <w:color w:val="auto"/>
              </w:rPr>
            </w:pPr>
            <w:r>
              <w:rPr>
                <w:rFonts w:ascii="Arial" w:cs="Arial" w:eastAsia="Arial" w:hAnsi="Arial"/>
                <w:sz w:val="11"/>
                <w:szCs w:val="11"/>
                <w:color w:val="auto"/>
              </w:rPr>
              <w:t>Total shareholders' equity</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402,590</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398,488</w:t>
            </w:r>
          </w:p>
        </w:tc>
        <w:tc>
          <w:tcPr>
            <w:tcW w:w="440" w:type="dxa"/>
            <w:vAlign w:val="bottom"/>
          </w:tcPr>
          <w:p>
            <w:pPr>
              <w:spacing w:after="0"/>
              <w:rPr>
                <w:sz w:val="13"/>
                <w:szCs w:val="13"/>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368,496</w:t>
            </w:r>
          </w:p>
        </w:tc>
      </w:tr>
      <w:tr>
        <w:trPr>
          <w:trHeight w:val="162"/>
        </w:trPr>
        <w:tc>
          <w:tcPr>
            <w:tcW w:w="58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Less: goodwill and other intangibles</w:t>
            </w:r>
          </w:p>
        </w:tc>
        <w:tc>
          <w:tcPr>
            <w:tcW w:w="2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(60,953)</w:t>
            </w:r>
          </w:p>
        </w:tc>
        <w:tc>
          <w:tcPr>
            <w:tcW w:w="4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(61,939)</w:t>
            </w:r>
          </w:p>
        </w:tc>
        <w:tc>
          <w:tcPr>
            <w:tcW w:w="4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(64,903)</w:t>
            </w:r>
          </w:p>
        </w:tc>
      </w:tr>
      <w:tr>
        <w:trPr>
          <w:trHeight w:val="172"/>
        </w:trPr>
        <w:tc>
          <w:tcPr>
            <w:tcW w:w="5840" w:type="dxa"/>
            <w:vAlign w:val="bottom"/>
          </w:tcPr>
          <w:p>
            <w:pPr>
              <w:ind w:left="140"/>
              <w:spacing w:after="0"/>
              <w:rPr>
                <w:sz w:val="20"/>
                <w:szCs w:val="20"/>
                <w:color w:val="auto"/>
              </w:rPr>
            </w:pPr>
            <w:r>
              <w:rPr>
                <w:rFonts w:ascii="Arial" w:cs="Arial" w:eastAsia="Arial" w:hAnsi="Arial"/>
                <w:sz w:val="11"/>
                <w:szCs w:val="11"/>
                <w:color w:val="auto"/>
              </w:rPr>
              <w:t>Tangible common equity</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341,637</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336,549</w:t>
            </w:r>
          </w:p>
        </w:tc>
        <w:tc>
          <w:tcPr>
            <w:tcW w:w="440" w:type="dxa"/>
            <w:vAlign w:val="bottom"/>
          </w:tcPr>
          <w:p>
            <w:pPr>
              <w:spacing w:after="0"/>
              <w:rPr>
                <w:sz w:val="15"/>
                <w:szCs w:val="15"/>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303,593</w:t>
            </w:r>
          </w:p>
        </w:tc>
      </w:tr>
      <w:tr>
        <w:trPr>
          <w:trHeight w:val="126"/>
        </w:trPr>
        <w:tc>
          <w:tcPr>
            <w:tcW w:w="58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r>
      <w:tr>
        <w:trPr>
          <w:trHeight w:val="156"/>
        </w:trPr>
        <w:tc>
          <w:tcPr>
            <w:tcW w:w="5840" w:type="dxa"/>
            <w:vAlign w:val="bottom"/>
          </w:tcPr>
          <w:p>
            <w:pPr>
              <w:ind w:left="80"/>
              <w:spacing w:after="0"/>
              <w:rPr>
                <w:sz w:val="20"/>
                <w:szCs w:val="20"/>
                <w:color w:val="auto"/>
              </w:rPr>
            </w:pPr>
            <w:r>
              <w:rPr>
                <w:rFonts w:ascii="Arial" w:cs="Arial" w:eastAsia="Arial" w:hAnsi="Arial"/>
                <w:sz w:val="11"/>
                <w:szCs w:val="11"/>
                <w:color w:val="auto"/>
              </w:rPr>
              <w:t>Add: accelerated accretion on sub debt redemption</w:t>
            </w:r>
          </w:p>
        </w:tc>
        <w:tc>
          <w:tcPr>
            <w:tcW w:w="220" w:type="dxa"/>
            <w:vAlign w:val="bottom"/>
          </w:tcPr>
          <w:p>
            <w:pPr>
              <w:spacing w:after="0"/>
              <w:rPr>
                <w:sz w:val="13"/>
                <w:szCs w:val="13"/>
                <w:color w:val="auto"/>
              </w:rPr>
            </w:pP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1,824</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w:t>
            </w:r>
          </w:p>
        </w:tc>
      </w:tr>
      <w:tr>
        <w:trPr>
          <w:trHeight w:val="168"/>
        </w:trPr>
        <w:tc>
          <w:tcPr>
            <w:tcW w:w="5840" w:type="dxa"/>
            <w:vAlign w:val="bottom"/>
            <w:shd w:val="clear" w:color="auto" w:fill="CCEEFF"/>
          </w:tcPr>
          <w:p>
            <w:pPr>
              <w:ind w:left="80"/>
              <w:spacing w:after="0"/>
              <w:rPr>
                <w:sz w:val="20"/>
                <w:szCs w:val="20"/>
                <w:color w:val="auto"/>
              </w:rPr>
            </w:pPr>
            <w:r>
              <w:rPr>
                <w:rFonts w:ascii="Arial" w:cs="Arial" w:eastAsia="Arial" w:hAnsi="Arial"/>
                <w:sz w:val="11"/>
                <w:szCs w:val="11"/>
                <w:color w:val="auto"/>
              </w:rPr>
              <w:t xml:space="preserve">Less: tax adjustment </w:t>
            </w:r>
            <w:r>
              <w:rPr>
                <w:rFonts w:ascii="Arial" w:cs="Arial" w:eastAsia="Arial" w:hAnsi="Arial"/>
                <w:sz w:val="14"/>
                <w:szCs w:val="14"/>
                <w:color w:val="auto"/>
                <w:vertAlign w:val="superscript"/>
              </w:rPr>
              <w:t>(1)</w:t>
            </w:r>
          </w:p>
        </w:tc>
        <w:tc>
          <w:tcPr>
            <w:tcW w:w="2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(539)</w:t>
            </w:r>
          </w:p>
        </w:tc>
        <w:tc>
          <w:tcPr>
            <w:tcW w:w="4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r>
      <w:tr>
        <w:trPr>
          <w:trHeight w:val="167"/>
        </w:trPr>
        <w:tc>
          <w:tcPr>
            <w:tcW w:w="5840" w:type="dxa"/>
            <w:vAlign w:val="bottom"/>
          </w:tcPr>
          <w:p>
            <w:pPr>
              <w:ind w:left="140"/>
              <w:spacing w:after="0" w:line="151" w:lineRule="exact"/>
              <w:rPr>
                <w:sz w:val="20"/>
                <w:szCs w:val="20"/>
                <w:color w:val="auto"/>
              </w:rPr>
            </w:pPr>
            <w:r>
              <w:rPr>
                <w:rFonts w:ascii="Arial" w:cs="Arial" w:eastAsia="Arial" w:hAnsi="Arial"/>
                <w:sz w:val="11"/>
                <w:szCs w:val="11"/>
                <w:color w:val="auto"/>
              </w:rPr>
              <w:t xml:space="preserve">Adjusted tangible common equity </w:t>
            </w:r>
            <w:r>
              <w:rPr>
                <w:rFonts w:ascii="Arial" w:cs="Arial" w:eastAsia="Arial" w:hAnsi="Arial"/>
                <w:sz w:val="14"/>
                <w:szCs w:val="14"/>
                <w:color w:val="auto"/>
                <w:vertAlign w:val="superscript"/>
              </w:rPr>
              <w:t>(2)</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341,637</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337,834</w:t>
            </w:r>
          </w:p>
        </w:tc>
        <w:tc>
          <w:tcPr>
            <w:tcW w:w="440" w:type="dxa"/>
            <w:vAlign w:val="bottom"/>
          </w:tcPr>
          <w:p>
            <w:pPr>
              <w:spacing w:after="0"/>
              <w:rPr>
                <w:sz w:val="14"/>
                <w:szCs w:val="14"/>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303,593</w:t>
            </w:r>
          </w:p>
        </w:tc>
      </w:tr>
      <w:tr>
        <w:trPr>
          <w:trHeight w:val="126"/>
        </w:trPr>
        <w:tc>
          <w:tcPr>
            <w:tcW w:w="58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r>
      <w:tr>
        <w:trPr>
          <w:trHeight w:val="157"/>
        </w:trPr>
        <w:tc>
          <w:tcPr>
            <w:tcW w:w="5840" w:type="dxa"/>
            <w:vAlign w:val="bottom"/>
          </w:tcPr>
          <w:p>
            <w:pPr>
              <w:ind w:left="80"/>
              <w:spacing w:after="0"/>
              <w:rPr>
                <w:sz w:val="20"/>
                <w:szCs w:val="20"/>
                <w:color w:val="auto"/>
              </w:rPr>
            </w:pPr>
            <w:r>
              <w:rPr>
                <w:rFonts w:ascii="Arial" w:cs="Arial" w:eastAsia="Arial" w:hAnsi="Arial"/>
                <w:sz w:val="11"/>
                <w:szCs w:val="11"/>
                <w:color w:val="auto"/>
              </w:rPr>
              <w:t>Tangible book value per share</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32.46</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32.01</w:t>
            </w:r>
          </w:p>
        </w:tc>
        <w:tc>
          <w:tcPr>
            <w:tcW w:w="440" w:type="dxa"/>
            <w:vAlign w:val="bottom"/>
          </w:tcPr>
          <w:p>
            <w:pPr>
              <w:spacing w:after="0"/>
              <w:rPr>
                <w:sz w:val="13"/>
                <w:szCs w:val="13"/>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28.81</w:t>
            </w:r>
          </w:p>
        </w:tc>
      </w:tr>
      <w:tr>
        <w:trPr>
          <w:trHeight w:val="167"/>
        </w:trPr>
        <w:tc>
          <w:tcPr>
            <w:tcW w:w="5840" w:type="dxa"/>
            <w:vAlign w:val="bottom"/>
            <w:shd w:val="clear" w:color="auto" w:fill="CCEEFF"/>
          </w:tcPr>
          <w:p>
            <w:pPr>
              <w:ind w:left="80"/>
              <w:spacing w:after="0"/>
              <w:rPr>
                <w:sz w:val="20"/>
                <w:szCs w:val="20"/>
                <w:color w:val="auto"/>
              </w:rPr>
            </w:pPr>
            <w:r>
              <w:rPr>
                <w:rFonts w:ascii="Arial" w:cs="Arial" w:eastAsia="Arial" w:hAnsi="Arial"/>
                <w:sz w:val="11"/>
                <w:szCs w:val="11"/>
                <w:color w:val="auto"/>
              </w:rPr>
              <w:t xml:space="preserve">Adjusted tangible book value per share </w:t>
            </w:r>
            <w:r>
              <w:rPr>
                <w:rFonts w:ascii="Arial" w:cs="Arial" w:eastAsia="Arial" w:hAnsi="Arial"/>
                <w:sz w:val="14"/>
                <w:szCs w:val="14"/>
                <w:color w:val="auto"/>
                <w:vertAlign w:val="superscript"/>
              </w:rPr>
              <w:t>(2)</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32.46</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32.13</w:t>
            </w: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28.81</w:t>
            </w:r>
          </w:p>
        </w:tc>
      </w:tr>
      <w:tr>
        <w:trPr>
          <w:trHeight w:val="144"/>
        </w:trPr>
        <w:tc>
          <w:tcPr>
            <w:tcW w:w="5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62"/>
        </w:trPr>
        <w:tc>
          <w:tcPr>
            <w:tcW w:w="58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Tangible Assets:</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57"/>
        </w:trPr>
        <w:tc>
          <w:tcPr>
            <w:tcW w:w="5840" w:type="dxa"/>
            <w:vAlign w:val="bottom"/>
          </w:tcPr>
          <w:p>
            <w:pPr>
              <w:ind w:left="80"/>
              <w:spacing w:after="0"/>
              <w:rPr>
                <w:sz w:val="20"/>
                <w:szCs w:val="20"/>
                <w:color w:val="auto"/>
              </w:rPr>
            </w:pPr>
            <w:r>
              <w:rPr>
                <w:rFonts w:ascii="Arial" w:cs="Arial" w:eastAsia="Arial" w:hAnsi="Arial"/>
                <w:sz w:val="11"/>
                <w:szCs w:val="11"/>
                <w:color w:val="auto"/>
              </w:rPr>
              <w:t>Total assets</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2,983,584</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2,945,205</w:t>
            </w:r>
          </w:p>
        </w:tc>
        <w:tc>
          <w:tcPr>
            <w:tcW w:w="440" w:type="dxa"/>
            <w:vAlign w:val="bottom"/>
          </w:tcPr>
          <w:p>
            <w:pPr>
              <w:spacing w:after="0"/>
              <w:rPr>
                <w:sz w:val="13"/>
                <w:szCs w:val="13"/>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2,838,171</w:t>
            </w:r>
          </w:p>
        </w:tc>
      </w:tr>
      <w:tr>
        <w:trPr>
          <w:trHeight w:val="162"/>
        </w:trPr>
        <w:tc>
          <w:tcPr>
            <w:tcW w:w="58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Less: goodwill and other intangibles</w:t>
            </w:r>
          </w:p>
        </w:tc>
        <w:tc>
          <w:tcPr>
            <w:tcW w:w="2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(60,953)</w:t>
            </w:r>
          </w:p>
        </w:tc>
        <w:tc>
          <w:tcPr>
            <w:tcW w:w="4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(61,939)</w:t>
            </w:r>
          </w:p>
        </w:tc>
        <w:tc>
          <w:tcPr>
            <w:tcW w:w="4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(64,903)</w:t>
            </w:r>
          </w:p>
        </w:tc>
      </w:tr>
      <w:tr>
        <w:trPr>
          <w:trHeight w:val="173"/>
        </w:trPr>
        <w:tc>
          <w:tcPr>
            <w:tcW w:w="5840" w:type="dxa"/>
            <w:vAlign w:val="bottom"/>
          </w:tcPr>
          <w:p>
            <w:pPr>
              <w:ind w:left="140"/>
              <w:spacing w:after="0"/>
              <w:rPr>
                <w:sz w:val="20"/>
                <w:szCs w:val="20"/>
                <w:color w:val="auto"/>
              </w:rPr>
            </w:pPr>
            <w:r>
              <w:rPr>
                <w:rFonts w:ascii="Arial" w:cs="Arial" w:eastAsia="Arial" w:hAnsi="Arial"/>
                <w:sz w:val="11"/>
                <w:szCs w:val="11"/>
                <w:color w:val="auto"/>
              </w:rPr>
              <w:t>Tangible assets</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2,922,631</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2,883,266</w:t>
            </w:r>
          </w:p>
        </w:tc>
        <w:tc>
          <w:tcPr>
            <w:tcW w:w="440" w:type="dxa"/>
            <w:vAlign w:val="bottom"/>
          </w:tcPr>
          <w:p>
            <w:pPr>
              <w:spacing w:after="0"/>
              <w:rPr>
                <w:sz w:val="15"/>
                <w:szCs w:val="15"/>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2,773,268</w:t>
            </w:r>
          </w:p>
        </w:tc>
      </w:tr>
      <w:tr>
        <w:trPr>
          <w:trHeight w:val="126"/>
        </w:trPr>
        <w:tc>
          <w:tcPr>
            <w:tcW w:w="58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r>
      <w:tr>
        <w:trPr>
          <w:trHeight w:val="157"/>
        </w:trPr>
        <w:tc>
          <w:tcPr>
            <w:tcW w:w="5840" w:type="dxa"/>
            <w:vAlign w:val="bottom"/>
          </w:tcPr>
          <w:p>
            <w:pPr>
              <w:spacing w:after="0"/>
              <w:rPr>
                <w:sz w:val="20"/>
                <w:szCs w:val="20"/>
                <w:color w:val="auto"/>
              </w:rPr>
            </w:pPr>
            <w:r>
              <w:rPr>
                <w:rFonts w:ascii="Arial" w:cs="Arial" w:eastAsia="Arial" w:hAnsi="Arial"/>
                <w:sz w:val="11"/>
                <w:szCs w:val="11"/>
                <w:color w:val="auto"/>
              </w:rPr>
              <w:t>Total shareholders' equity to total assets</w:t>
            </w:r>
          </w:p>
        </w:tc>
        <w:tc>
          <w:tcPr>
            <w:tcW w:w="220" w:type="dxa"/>
            <w:vAlign w:val="bottom"/>
          </w:tcPr>
          <w:p>
            <w:pPr>
              <w:spacing w:after="0"/>
              <w:rPr>
                <w:sz w:val="13"/>
                <w:szCs w:val="13"/>
                <w:color w:val="auto"/>
              </w:rPr>
            </w:pPr>
          </w:p>
        </w:tc>
        <w:tc>
          <w:tcPr>
            <w:tcW w:w="1300" w:type="dxa"/>
            <w:vAlign w:val="bottom"/>
          </w:tcPr>
          <w:p>
            <w:pPr>
              <w:ind w:left="220"/>
              <w:spacing w:after="0"/>
              <w:rPr>
                <w:sz w:val="20"/>
                <w:szCs w:val="20"/>
                <w:color w:val="auto"/>
              </w:rPr>
            </w:pPr>
            <w:r>
              <w:rPr>
                <w:rFonts w:ascii="Arial" w:cs="Arial" w:eastAsia="Arial" w:hAnsi="Arial"/>
                <w:sz w:val="11"/>
                <w:szCs w:val="11"/>
                <w:color w:val="auto"/>
              </w:rPr>
              <w:t>13.49%</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ind w:left="180"/>
              <w:spacing w:after="0"/>
              <w:rPr>
                <w:sz w:val="20"/>
                <w:szCs w:val="20"/>
                <w:color w:val="auto"/>
              </w:rPr>
            </w:pPr>
            <w:r>
              <w:rPr>
                <w:rFonts w:ascii="Arial" w:cs="Arial" w:eastAsia="Arial" w:hAnsi="Arial"/>
                <w:sz w:val="11"/>
                <w:szCs w:val="11"/>
                <w:color w:val="auto"/>
              </w:rPr>
              <w:t>13.53%</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ind w:right="666"/>
              <w:spacing w:after="0"/>
              <w:rPr>
                <w:sz w:val="20"/>
                <w:szCs w:val="20"/>
                <w:color w:val="auto"/>
              </w:rPr>
            </w:pPr>
            <w:r>
              <w:rPr>
                <w:rFonts w:ascii="Arial" w:cs="Arial" w:eastAsia="Arial" w:hAnsi="Arial"/>
                <w:sz w:val="11"/>
                <w:szCs w:val="11"/>
                <w:color w:val="auto"/>
              </w:rPr>
              <w:t>12.98%</w:t>
            </w:r>
          </w:p>
        </w:tc>
      </w:tr>
      <w:tr>
        <w:trPr>
          <w:trHeight w:val="168"/>
        </w:trPr>
        <w:tc>
          <w:tcPr>
            <w:tcW w:w="5840" w:type="dxa"/>
            <w:vAlign w:val="bottom"/>
            <w:shd w:val="clear" w:color="auto" w:fill="CCEEFF"/>
          </w:tcPr>
          <w:p>
            <w:pPr>
              <w:spacing w:after="0"/>
              <w:rPr>
                <w:sz w:val="20"/>
                <w:szCs w:val="20"/>
                <w:color w:val="auto"/>
              </w:rPr>
            </w:pPr>
            <w:r>
              <w:rPr>
                <w:rFonts w:ascii="Arial" w:cs="Arial" w:eastAsia="Arial" w:hAnsi="Arial"/>
                <w:sz w:val="11"/>
                <w:szCs w:val="11"/>
                <w:color w:val="auto"/>
              </w:rPr>
              <w:t>Tangible common equity ratio</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11.69%</w:t>
            </w: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11.67%</w:t>
            </w: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666"/>
              <w:spacing w:after="0"/>
              <w:rPr>
                <w:sz w:val="20"/>
                <w:szCs w:val="20"/>
                <w:color w:val="auto"/>
              </w:rPr>
            </w:pPr>
            <w:r>
              <w:rPr>
                <w:rFonts w:ascii="Arial" w:cs="Arial" w:eastAsia="Arial" w:hAnsi="Arial"/>
                <w:sz w:val="11"/>
                <w:szCs w:val="11"/>
                <w:color w:val="auto"/>
              </w:rPr>
              <w:t>10.95%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7178040" cy="97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37" w:lineRule="exact"/>
        <w:rPr>
          <w:sz w:val="20"/>
          <w:szCs w:val="20"/>
          <w:color w:val="auto"/>
        </w:rPr>
      </w:pPr>
    </w:p>
    <w:p>
      <w:pPr>
        <w:ind w:left="140" w:hanging="136"/>
        <w:spacing w:after="0"/>
        <w:tabs>
          <w:tab w:leader="none" w:pos="140" w:val="left"/>
        </w:tabs>
        <w:numPr>
          <w:ilvl w:val="0"/>
          <w:numId w:val="9"/>
        </w:numPr>
        <w:rPr>
          <w:rFonts w:ascii="Arial" w:cs="Arial" w:eastAsia="Arial" w:hAnsi="Arial"/>
          <w:sz w:val="10"/>
          <w:szCs w:val="10"/>
          <w:color w:val="auto"/>
        </w:rPr>
      </w:pPr>
      <w:r>
        <w:rPr>
          <w:rFonts w:ascii="Arial" w:cs="Arial" w:eastAsia="Arial" w:hAnsi="Arial"/>
          <w:sz w:val="10"/>
          <w:szCs w:val="10"/>
          <w:color w:val="auto"/>
        </w:rPr>
        <w:t>Adjusted by combined statutory federal income tax rate of 21 percent and statutory state income tax rate of 10.84 percent.</w:t>
      </w:r>
    </w:p>
    <w:p>
      <w:pPr>
        <w:spacing w:after="0" w:line="38" w:lineRule="exact"/>
        <w:rPr>
          <w:rFonts w:ascii="Arial" w:cs="Arial" w:eastAsia="Arial" w:hAnsi="Arial"/>
          <w:sz w:val="10"/>
          <w:szCs w:val="10"/>
          <w:color w:val="auto"/>
        </w:rPr>
      </w:pPr>
    </w:p>
    <w:p>
      <w:pPr>
        <w:ind w:right="220" w:firstLine="4"/>
        <w:spacing w:after="0" w:line="264" w:lineRule="auto"/>
        <w:tabs>
          <w:tab w:leader="none" w:pos="144" w:val="left"/>
        </w:tabs>
        <w:numPr>
          <w:ilvl w:val="0"/>
          <w:numId w:val="9"/>
        </w:numPr>
        <w:rPr>
          <w:rFonts w:ascii="Arial" w:cs="Arial" w:eastAsia="Arial" w:hAnsi="Arial"/>
          <w:sz w:val="10"/>
          <w:szCs w:val="10"/>
          <w:color w:val="auto"/>
        </w:rPr>
      </w:pPr>
      <w:r>
        <w:rPr>
          <w:rFonts w:ascii="Arial" w:cs="Arial" w:eastAsia="Arial" w:hAnsi="Arial"/>
          <w:sz w:val="10"/>
          <w:szCs w:val="10"/>
          <w:color w:val="auto"/>
        </w:rPr>
        <w:t>Adjusted tangible common equity and adjusted tangible book value per share are presented to illustrate the effect of excluding the after-tax accelerated accretion associated with the completed subordinated-debt redemption. These measures do not represent Bancorp’s actual period-end equity or book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300"/>
          </w:cols>
          <w:pgMar w:left="300" w:top="869" w:right="299" w:bottom="1440"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2026-10-27T15:13:11Z</dcterms:created>
  <dcterms:modified xsi:type="dcterms:W3CDTF">2026-10-27T15:13:11Z</dcterms:modified>
</cp:coreProperties>
</file>